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A37" w:rsidRDefault="005E3A37" w:rsidP="005E3A37">
      <w:pPr>
        <w:tabs>
          <w:tab w:val="left" w:pos="7560"/>
          <w:tab w:val="left" w:pos="8100"/>
          <w:tab w:val="left" w:pos="8280"/>
        </w:tabs>
        <w:adjustRightInd w:val="0"/>
        <w:snapToGrid w:val="0"/>
        <w:spacing w:line="560" w:lineRule="exact"/>
        <w:jc w:val="center"/>
        <w:rPr>
          <w:rFonts w:ascii="方正小标宋简体" w:eastAsia="方正小标宋简体" w:hAnsi="方正小标宋简体" w:cs="方正小标宋简体" w:hint="eastAsia"/>
          <w:sz w:val="44"/>
        </w:rPr>
      </w:pPr>
      <w:r>
        <w:rPr>
          <w:rFonts w:ascii="方正小标宋简体" w:eastAsia="方正小标宋简体" w:hAnsi="方正小标宋简体" w:cs="方正小标宋简体" w:hint="eastAsia"/>
          <w:sz w:val="44"/>
        </w:rPr>
        <w:t>北京延庆林果花草蜂药种业创新</w:t>
      </w:r>
    </w:p>
    <w:p w:rsidR="005E3A37" w:rsidRDefault="005E3A37" w:rsidP="005E3A37">
      <w:pPr>
        <w:tabs>
          <w:tab w:val="left" w:pos="7560"/>
          <w:tab w:val="left" w:pos="8100"/>
          <w:tab w:val="left" w:pos="8280"/>
        </w:tabs>
        <w:adjustRightInd w:val="0"/>
        <w:snapToGrid w:val="0"/>
        <w:spacing w:line="560" w:lineRule="exact"/>
        <w:jc w:val="center"/>
        <w:rPr>
          <w:rFonts w:ascii="黑体" w:eastAsia="黑体" w:hAnsi="黑体" w:cs="黑体" w:hint="eastAsia"/>
          <w:sz w:val="32"/>
          <w:szCs w:val="32"/>
        </w:rPr>
      </w:pPr>
      <w:r>
        <w:rPr>
          <w:rFonts w:ascii="方正小标宋简体" w:eastAsia="方正小标宋简体" w:hAnsi="方正小标宋简体" w:cs="方正小标宋简体" w:hint="eastAsia"/>
          <w:sz w:val="44"/>
        </w:rPr>
        <w:t>孵化基地建设专项行动方案</w:t>
      </w:r>
    </w:p>
    <w:p w:rsidR="005E3A37" w:rsidRDefault="005E3A37" w:rsidP="005E3A37">
      <w:pPr>
        <w:adjustRightInd w:val="0"/>
        <w:snapToGrid w:val="0"/>
        <w:spacing w:line="560" w:lineRule="exact"/>
        <w:ind w:firstLineChars="200" w:firstLine="643"/>
        <w:rPr>
          <w:rFonts w:ascii="仿宋_GB2312" w:eastAsia="仿宋_GB2312" w:hint="eastAsia"/>
          <w:b/>
          <w:bCs/>
          <w:sz w:val="32"/>
          <w:szCs w:val="32"/>
        </w:rPr>
      </w:pP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0" w:name="OLE_LINK1"/>
      <w:r>
        <w:rPr>
          <w:rFonts w:ascii="仿宋_GB2312" w:eastAsia="仿宋_GB2312" w:hAnsi="仿宋_GB2312" w:cs="仿宋_GB2312" w:hint="eastAsia"/>
          <w:sz w:val="32"/>
          <w:szCs w:val="32"/>
        </w:rPr>
        <w:t>为贯彻落实《种业振兴行动方案》《北京种业振兴实施方案（2021-2030年）》，在市农业农村局、市园林绿化局等部门的指导和支持下，延庆区积极整合本区种业创新场地、主体和人才等资源，加快建设北京林果花草蜂药（“药”特指药源植物）种业创新孵化基地，支撑北京打造国家种业创新高地，助力国家种业振兴，特制定本行动方案。</w:t>
      </w:r>
      <w:bookmarkStart w:id="1" w:name="_Toc17743"/>
      <w:bookmarkEnd w:id="0"/>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2" w:name="_Toc14502"/>
      <w:bookmarkStart w:id="3" w:name="_Toc13922"/>
      <w:bookmarkEnd w:id="1"/>
      <w:r>
        <w:rPr>
          <w:rFonts w:ascii="黑体" w:eastAsia="黑体" w:hAnsi="黑体" w:cs="黑体" w:hint="eastAsia"/>
          <w:sz w:val="32"/>
          <w:szCs w:val="32"/>
        </w:rPr>
        <w:t>一、总体要求</w:t>
      </w:r>
      <w:bookmarkEnd w:id="2"/>
      <w:bookmarkEnd w:id="3"/>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4" w:name="_Toc2164"/>
      <w:bookmarkStart w:id="5" w:name="_Toc1989"/>
      <w:r>
        <w:rPr>
          <w:rFonts w:ascii="楷体_GB2312" w:eastAsia="楷体_GB2312" w:hAnsi="楷体_GB2312" w:cs="楷体_GB2312" w:hint="eastAsia"/>
          <w:sz w:val="32"/>
          <w:szCs w:val="32"/>
        </w:rPr>
        <w:t>（一）指导思想</w:t>
      </w:r>
      <w:bookmarkEnd w:id="4"/>
      <w:bookmarkEnd w:id="5"/>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以习近平新时代中国特色社会主义思想为指导，全面贯彻落实党的二十大精神，认真落实市委市政府关于建设北京林果花草蜂药种业创新孵化基地的工作部署和要求，以林果花草种业为重点，以世园公园为核心，整合国际马铃薯大会和世界葡萄博览园等场地资源，按照“立足延庆、服务北京、辐射全国”的发展思路，高标准搭建种业联合创新平台，全方位加速种业创新主体和创新人才聚集，高效率促进种业科技创新和科技成果转化，全力提升种业产业孵化能力，高起点创建以林果花草种业为特色的国家级现代农业产业园，打造北京林果花草蜂药种业创新高地，推动延庆区种业高质量发展、乡村振兴和生态文明建设，为北京“种业之都”建设和国家种业振兴提供有力支撑。</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6" w:name="_Toc12323"/>
      <w:bookmarkStart w:id="7" w:name="_Toc5854"/>
      <w:r>
        <w:rPr>
          <w:rFonts w:ascii="楷体_GB2312" w:eastAsia="楷体_GB2312" w:hAnsi="楷体_GB2312" w:cs="楷体_GB2312" w:hint="eastAsia"/>
          <w:sz w:val="32"/>
          <w:szCs w:val="32"/>
        </w:rPr>
        <w:lastRenderedPageBreak/>
        <w:t>（二）基本原则</w:t>
      </w:r>
      <w:bookmarkEnd w:id="6"/>
      <w:bookmarkEnd w:id="7"/>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8" w:name="_Toc10693"/>
      <w:bookmarkStart w:id="9" w:name="_Toc30701"/>
      <w:bookmarkStart w:id="10" w:name="_Toc5169"/>
      <w:r>
        <w:rPr>
          <w:rFonts w:ascii="仿宋_GB2312" w:eastAsia="仿宋_GB2312" w:hAnsi="仿宋_GB2312" w:cs="仿宋_GB2312" w:hint="eastAsia"/>
          <w:sz w:val="32"/>
          <w:szCs w:val="32"/>
        </w:rPr>
        <w:t>1.坚持高远谋划，稳步推进。站在服务支撑国家种业振兴和北京“种业之都”建设的高度，立足延庆种业资源禀赋、气候特点和产业优势，强化责任担当，做好长远系统谋划，分阶段分步骤有侧重稳步推进林果花草蜂药种业创新孵化基地建设。</w:t>
      </w:r>
      <w:bookmarkEnd w:id="8"/>
      <w:bookmarkEnd w:id="9"/>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11" w:name="_Toc8519"/>
      <w:bookmarkStart w:id="12" w:name="_Toc2271"/>
      <w:r>
        <w:rPr>
          <w:rFonts w:ascii="仿宋_GB2312" w:eastAsia="仿宋_GB2312" w:hAnsi="仿宋_GB2312" w:cs="仿宋_GB2312" w:hint="eastAsia"/>
          <w:sz w:val="32"/>
          <w:szCs w:val="32"/>
        </w:rPr>
        <w:t>2.坚持统筹兼顾，重点突破。充分整合全市科技资源、全区场地和基础设施资源，按照林果花草蜂药种业创新孵化各环节进行系统布局，同时坚持有所为、有所不为，重点建设关键科研平台，突破种业关键技术卡点堵点，培育重大突破性品种，推动重点产业发展。</w:t>
      </w:r>
      <w:bookmarkEnd w:id="11"/>
      <w:bookmarkEnd w:id="12"/>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13" w:name="_Toc11093"/>
      <w:bookmarkStart w:id="14" w:name="_Toc23302"/>
      <w:r>
        <w:rPr>
          <w:rFonts w:ascii="仿宋_GB2312" w:eastAsia="仿宋_GB2312" w:hAnsi="仿宋_GB2312" w:cs="仿宋_GB2312" w:hint="eastAsia"/>
          <w:sz w:val="32"/>
          <w:szCs w:val="32"/>
        </w:rPr>
        <w:t>3.坚持政策先行，服务至上。强化体制机制创新，加快实施针对性、突破性种业创新孵化政策，促进各类创新要素有效整合和各类创新主体加速聚集；构建现代种业创新服务体系，强化服务意识，提升服务能力，促进种业创新和产业孵化。</w:t>
      </w:r>
      <w:bookmarkEnd w:id="13"/>
      <w:bookmarkEnd w:id="14"/>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15" w:name="_Toc30667"/>
      <w:bookmarkStart w:id="16" w:name="_Toc23519"/>
      <w:bookmarkEnd w:id="10"/>
      <w:r>
        <w:rPr>
          <w:rFonts w:ascii="仿宋_GB2312" w:eastAsia="仿宋_GB2312" w:hAnsi="仿宋_GB2312" w:cs="仿宋_GB2312" w:hint="eastAsia"/>
          <w:sz w:val="32"/>
          <w:szCs w:val="32"/>
        </w:rPr>
        <w:t>4.坚持鼓励创新，加速孵化。围绕林果花草蜂药种业产业链，布局完善种业创新链，促进自主成果高效产出，强化自主成果转化应用，加速种业产业孵化，促进种业与其他优势产业融合，积极打造“种业+”产业集群。</w:t>
      </w:r>
      <w:bookmarkEnd w:id="15"/>
      <w:bookmarkEnd w:id="16"/>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17" w:name="_Toc25174"/>
      <w:bookmarkStart w:id="18" w:name="_Toc7096"/>
      <w:r>
        <w:rPr>
          <w:rFonts w:ascii="楷体_GB2312" w:eastAsia="楷体_GB2312" w:hAnsi="楷体_GB2312" w:cs="楷体_GB2312" w:hint="eastAsia"/>
          <w:sz w:val="32"/>
          <w:szCs w:val="32"/>
        </w:rPr>
        <w:t>（三）总体布局</w:t>
      </w:r>
      <w:bookmarkEnd w:id="17"/>
      <w:bookmarkEnd w:id="18"/>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在空间布局方面，按照“立足延庆、服务北京、辐射全国”的发展思路，构建林果花草蜂药种业创新核心区、育繁推示范区和产业辐射区。其中创新核心区以世园公园为中心，整合世界葡</w:t>
      </w:r>
      <w:r>
        <w:rPr>
          <w:rFonts w:ascii="仿宋_GB2312" w:eastAsia="仿宋_GB2312" w:hAnsi="仿宋_GB2312" w:cs="仿宋_GB2312" w:hint="eastAsia"/>
          <w:sz w:val="32"/>
          <w:szCs w:val="32"/>
        </w:rPr>
        <w:lastRenderedPageBreak/>
        <w:t>萄博览园、世界马铃薯大会、首农食品集团延庆农场等场地和设施资源，搭建联合创新中心、研发基地和展示交流交易中心，聚集科研院校和企业持续开展种业科技创新，依托世园公园国际馆举办各类种业交流交易活动；育繁推示范区依托延庆全区现有农业园和园艺种植基地建设，以创新核心区培育的自主品种为主，开展小规模繁育、示范和推广；产业辐射区以京津冀、西北、东北和华北地区为主，建设大规模繁育、生产加工基地，推进自主品种大规模推广应用和产业高质量发展。</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在产业布局方面，立足延庆区产业基础和资源禀赋，重点发展适合延庆冷凉气候和水土环境的林果花草种业，引领林果花草蜂药产业高质量发展。其中，林木种业以油松、观赏海棠、延庆乡土树种、老北京珍稀树种等为重点，适度开展林木新品种选育和特色苗木繁育；果树种业重点围绕延庆国光苹果、延怀河谷葡萄、延庆香白杏、燕山板栗、八棱脆海棠等具有地方风味和国家地理标志认证的果品，持续开展品种改良、配套种植技术提升和区域性品牌打造；花草种业重点围绕适合冷凉气候和水土环境的百合、郁金香、牡丹、芍药、菊花等优势物种，持续开展新优特自主品种培育和种苗种球标准化繁育，建立自主品种推广体系，促进花卉种业发展。同时兼顾蜂药种业，蜂种业以提升蜜蜂养殖技术和特色产品开发为重点，药种业则以地道药材繁育为重点。</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19" w:name="_Toc30839"/>
      <w:bookmarkStart w:id="20" w:name="_Toc10009"/>
      <w:r>
        <w:rPr>
          <w:rFonts w:ascii="黑体" w:eastAsia="黑体" w:hAnsi="黑体" w:cs="黑体" w:hint="eastAsia"/>
          <w:sz w:val="32"/>
          <w:szCs w:val="32"/>
        </w:rPr>
        <w:t>二、主要目标</w:t>
      </w:r>
      <w:bookmarkEnd w:id="19"/>
      <w:bookmarkEnd w:id="20"/>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锚定国家和北京市种业振兴重要战略目标，立足延庆区资源</w:t>
      </w:r>
      <w:r>
        <w:rPr>
          <w:rFonts w:ascii="仿宋_GB2312" w:eastAsia="仿宋_GB2312" w:hAnsi="仿宋_GB2312" w:cs="仿宋_GB2312" w:hint="eastAsia"/>
          <w:sz w:val="32"/>
          <w:szCs w:val="32"/>
        </w:rPr>
        <w:lastRenderedPageBreak/>
        <w:t>禀赋、区位特点和产业优势，以林果花草种业为重点，搭建创新平台，加速要素聚集，促进创新转化，做强优势种业，强化产业孵化，积极建设种业企业聚集中心、种业创新中心和种业交流展示中心，打造北京林果花草蜂药种业创新高地，为北京市“种业之都”建设和国家种业振兴提供有力支撑。</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到2025年，林果花草蜂药种质资源、创新人才、科研院校、种业企业等创新资源和要素加速聚集，种质资源利用能力、种业科技创新能力和产业孵化能力显著提升，林果花草蜂药种业创新孵化基地基本建成。</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种质资源保护利用方面，完善和新建北京市认定的林果花草蜂药种质资源库（圃）5个以上（花卉2个，特色珍稀林木、果树、药源植物各1个），建设国家级种质资源库（圃）备份库（圃）或保护分支机构1个以上，引进收集保护一批林果花草蜂药特色种质资源，建立林果花草蜂药种质资源信息共享平台。</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种业科技创新方面，搭建科研院校和种业企业紧密合作的种业创新联合体或联盟2个以上，建设国家级科研平台分支机构或新建市级科研平台2个以上，引进科研创新团队15个以上，创制和推广一批林果花草蜂药优势自主品种，形成一批延庆和北京特色种业品牌。</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——种苗繁育基地建设方面，建设球根花卉等花卉种苗种球快繁基地和标准化示范基地3个以上，新建或改造提升苗木、中草药等良种繁育基地2个以上，显著提升基地供种能力。</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lastRenderedPageBreak/>
        <w:t>——种业成果展示交易方面，依托世园公园，积极承办中国北京种业大会等国内外高水平展会和论坛，初步搭建国际林果花草蜂药种业文化展示和交流交易中心；加强产品进出口服务和管理，建成林果花草蜂药进出口检测检疫平台（北方）、进出口交易平台；搭建林果花草蜂药种业科技成果转化交易平台，促进自主品种推广应用，畅通种业科技成果转化。</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产业聚集孵化方面，聚集林果花草蜂药种业产业链企业30家以上，细分领域种业领军企业3家以上，创新型种业企业10家以上；孵化一批以种业为引领、特色鲜明的优势“种业+”产业，完成国家现代农业产业园（林果花草蜂药种业）申报，林果花草蜂药种业创新孵化基地基本建成。</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到2030年，优异资源、优势企业、优良品种等创新要素高度集聚，科技成果高效转化，基本建成林果花草蜂药北方种业企业聚集中心、全国种业创新中心和国际种业交流展示中心，林果花草蜂药种业创新高地初具规模，林果花草蜂药种业创新和产业孵化能力全国领先。</w:t>
      </w:r>
    </w:p>
    <w:p w:rsidR="005E3A37" w:rsidRDefault="005E3A37" w:rsidP="005E3A37">
      <w:pPr>
        <w:adjustRightInd w:val="0"/>
        <w:snapToGrid w:val="0"/>
        <w:spacing w:line="560" w:lineRule="exact"/>
        <w:ind w:firstLineChars="200" w:firstLine="640"/>
        <w:rPr>
          <w:rFonts w:ascii="黑体" w:eastAsia="黑体" w:hAnsi="黑体" w:cs="黑体" w:hint="eastAsia"/>
          <w:sz w:val="32"/>
          <w:szCs w:val="32"/>
        </w:rPr>
      </w:pPr>
      <w:bookmarkStart w:id="21" w:name="_Toc7003"/>
      <w:bookmarkStart w:id="22" w:name="_Toc14028"/>
      <w:r>
        <w:rPr>
          <w:rFonts w:ascii="黑体" w:eastAsia="黑体" w:hAnsi="黑体" w:cs="黑体" w:hint="eastAsia"/>
          <w:sz w:val="32"/>
          <w:szCs w:val="32"/>
        </w:rPr>
        <w:t>三、重点任务</w:t>
      </w:r>
      <w:bookmarkEnd w:id="21"/>
      <w:bookmarkEnd w:id="22"/>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23" w:name="_Toc15263"/>
      <w:bookmarkStart w:id="24" w:name="_Toc5630"/>
      <w:bookmarkStart w:id="25" w:name="_Toc19466"/>
      <w:r>
        <w:rPr>
          <w:rFonts w:ascii="仿宋_GB2312" w:eastAsia="仿宋_GB2312" w:hAnsi="仿宋_GB2312" w:cs="仿宋_GB2312" w:hint="eastAsia"/>
          <w:sz w:val="32"/>
          <w:szCs w:val="32"/>
        </w:rPr>
        <w:t>以林果花草蜂药种业创新孵化基地建设为抓手，以世园公园为核心，整合国际马铃薯大会和世界葡萄博览园及全区各种农业园区（基地）资源，重点开展种质资源保护利用、种业科技创新、种苗研发繁育、种业成果展示交易和种业产业聚集孵化等5大行动，加快实施林果花草蜂药种质资源保护基地建设等13项重点</w:t>
      </w:r>
      <w:r>
        <w:rPr>
          <w:rFonts w:ascii="仿宋_GB2312" w:eastAsia="仿宋_GB2312" w:hAnsi="仿宋_GB2312" w:cs="仿宋_GB2312" w:hint="eastAsia"/>
          <w:sz w:val="32"/>
          <w:szCs w:val="32"/>
        </w:rPr>
        <w:lastRenderedPageBreak/>
        <w:t>任务，围绕种业产业链完成创新链关键布局，为打造北京市林果花草蜂药种业创新高地夯实基础、储蓄动能</w:t>
      </w:r>
      <w:bookmarkEnd w:id="23"/>
      <w:bookmarkEnd w:id="24"/>
      <w:bookmarkEnd w:id="25"/>
      <w:r>
        <w:rPr>
          <w:rFonts w:ascii="仿宋_GB2312" w:eastAsia="仿宋_GB2312" w:hAnsi="仿宋_GB2312" w:cs="仿宋_GB2312" w:hint="eastAsia"/>
          <w:sz w:val="32"/>
          <w:szCs w:val="32"/>
        </w:rPr>
        <w:t>。</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26" w:name="_Toc3898"/>
      <w:bookmarkStart w:id="27" w:name="_Toc31343"/>
      <w:r>
        <w:rPr>
          <w:rFonts w:ascii="楷体_GB2312" w:eastAsia="楷体_GB2312" w:hAnsi="楷体_GB2312" w:cs="楷体_GB2312" w:hint="eastAsia"/>
          <w:sz w:val="32"/>
          <w:szCs w:val="32"/>
        </w:rPr>
        <w:t>（一）种质资源保护利用行动</w:t>
      </w:r>
      <w:bookmarkEnd w:id="26"/>
      <w:bookmarkEnd w:id="27"/>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28" w:name="_Toc17959"/>
      <w:bookmarkStart w:id="29" w:name="_Toc28990"/>
      <w:r>
        <w:rPr>
          <w:rFonts w:ascii="仿宋_GB2312" w:eastAsia="仿宋_GB2312" w:hAnsi="仿宋_GB2312" w:cs="仿宋_GB2312" w:hint="eastAsia"/>
          <w:sz w:val="32"/>
          <w:szCs w:val="32"/>
        </w:rPr>
        <w:t>1.建设北京林果花草蜂药种质资源保护基地</w:t>
      </w:r>
      <w:bookmarkEnd w:id="28"/>
      <w:bookmarkEnd w:id="29"/>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开展延庆区特色、珍稀、濒危林果花草蜂药种质资源调查，建立延庆区林果花草蜂药种质资源档案，建立分类分级种质资源保护体系。（责任单位：区园林绿化局、区农业农村局等）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支持北京市农林科学院、北京林业大学等科研院校和企业在延庆新建国家级或市级林果花草蜂药专类种质资源库（圃），支持国家多年生草本花卉种质资源圃（北京）、国家百合种质资源库等现有国家级林果花草蜂药种质资源保护库（圃）在延庆设立备份库（圃）或保护分支机构，配置必要的种质资源保存、检测和筛选等基础设施，加强特色优势种质资源保护和利用。（责任单位：区园林绿化局、区农业农村局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加强对延庆区现有种质资源库（圃）进行改造升级，定期开展设施设备维护、检测保存种质资源活力、繁殖更新复壮等工作，申请市级或国家级种质资源库（圃）认定。（责任单位：区园林绿化局、区农业农村局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建立林果花草蜂药种质资源信息共享平台，完善并统一种质资源出入库和保存更新的标准、登记、技术流程规范，研究制订种质资源共享服务方案，实现种质资源材料多点保存、信息统一登记和发布、资源有偿共享，避免重复保护，提高保护利用效率。</w:t>
      </w:r>
      <w:r>
        <w:rPr>
          <w:rFonts w:ascii="仿宋_GB2312" w:eastAsia="仿宋_GB2312" w:hAnsi="仿宋_GB2312" w:cs="仿宋_GB2312" w:hint="eastAsia"/>
          <w:sz w:val="32"/>
          <w:szCs w:val="32"/>
        </w:rPr>
        <w:lastRenderedPageBreak/>
        <w:t>（责任单位：区园林绿化局、区农业农村局等）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30" w:name="_Toc14812"/>
      <w:bookmarkStart w:id="31" w:name="_Toc12592"/>
      <w:r>
        <w:rPr>
          <w:rFonts w:ascii="仿宋_GB2312" w:eastAsia="仿宋_GB2312" w:hAnsi="仿宋_GB2312" w:cs="仿宋_GB2312" w:hint="eastAsia"/>
          <w:sz w:val="32"/>
          <w:szCs w:val="32"/>
        </w:rPr>
        <w:t>2.开展种质资源精准鉴定与评价</w:t>
      </w:r>
      <w:bookmarkEnd w:id="30"/>
      <w:bookmarkEnd w:id="31"/>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重点针对延庆区内保有的林果花草蜂药种质资源，采取“揭榜挂帅”等形式，联合市级相关部门发布一批种质资源鉴定和评价项目，依托林果花草蜂药种质资源保护与利用科研团队，制定种质资源鉴定评价标准和技术规范，建立完善种质资源鉴定评价体系，开展种质资源精准鉴定和综合评价。（责任单位：区科委、区园林绿化局、区农业农村局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针对球根花卉等延庆优势植物开展全基因组水平的基因型鉴定和性状关联鉴定；针对野生种质资源开展抗病性、抗逆性等优势性状评价；针对赏食药兼用功能性种质资源开展感官品质、营养品质及功能性成分等鉴定评价。（责任单位：相关科研院校和企业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引进第三方种业关键共性技术平台机构，提供种质资源鉴定、评价和利用等关键共性技术服务。（责任单位：区科委、中关村延庆园服务中心、区园林绿化局、区农业农村局等）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32" w:name="_Toc16975"/>
      <w:bookmarkStart w:id="33" w:name="_Toc10840"/>
      <w:r>
        <w:rPr>
          <w:rFonts w:ascii="楷体_GB2312" w:eastAsia="楷体_GB2312" w:hAnsi="楷体_GB2312" w:cs="楷体_GB2312" w:hint="eastAsia"/>
          <w:sz w:val="32"/>
          <w:szCs w:val="32"/>
        </w:rPr>
        <w:t>（二）种业科技创新行动</w:t>
      </w:r>
      <w:bookmarkEnd w:id="32"/>
      <w:bookmarkEnd w:id="33"/>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34" w:name="_Toc4869"/>
      <w:bookmarkStart w:id="35" w:name="_Toc1470"/>
      <w:r>
        <w:rPr>
          <w:rFonts w:ascii="仿宋_GB2312" w:eastAsia="仿宋_GB2312" w:hAnsi="仿宋_GB2312" w:cs="仿宋_GB2312" w:hint="eastAsia"/>
          <w:sz w:val="32"/>
          <w:szCs w:val="32"/>
        </w:rPr>
        <w:t>3.创建林果花草蜂药种业联合创新中心</w:t>
      </w:r>
      <w:bookmarkEnd w:id="34"/>
      <w:bookmarkEnd w:id="35"/>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充分发挥好中关村现代园艺产业创新中心作用，依托世园公园、国际马铃薯大会、世界葡萄博览园、首农食品集团延庆农场等场地资源和基础条件，根据创新主体实际需求，布局建设种质资源鉴定、检测检验、组培脱毒、品种培育等公共实验室，提升</w:t>
      </w:r>
      <w:r>
        <w:rPr>
          <w:rFonts w:ascii="仿宋_GB2312" w:eastAsia="仿宋_GB2312" w:hAnsi="仿宋_GB2312" w:cs="仿宋_GB2312" w:hint="eastAsia"/>
          <w:sz w:val="32"/>
          <w:szCs w:val="32"/>
        </w:rPr>
        <w:lastRenderedPageBreak/>
        <w:t>种业科技创新公共服务能力。（责任单位：区园林绿化局、区农业农村局、世园公司等）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支持企业牵头，联合优势科研院校、行业协会、农业合作社等机构，共同组建种业创新联合体或产业技术创新战略联盟，在种业创新和产业发展上形成合力；支持国家花卉产业技术创新战略联盟、百合产业国家创新联盟、北京生物种业创新联合体等联盟在延庆组建创新实验室和产品创新基地，积极参与林果花草蜂药种业孵化基地建设；支持北京球根花卉产业技术研究院等新型研发机构建设，聚焦种质资源评价和利用、品种创新、新品种权保护等环节，构建创新能力强、产业孵化效率高的种业联合创新中心。（责任单位：区科委、区园林绿化局、区农业农村局、世园公司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支持科研院校和企业新建国家级或部市级科研平台（重点实验室、工程技术中心等）落户延庆，支持林木遗传育种国家重点实验室、国家花卉工程技术研究中心、国家花卉改良中心、北京市功能花卉工程技术研究中心等现有国家级或部市级科研平台在延设立分支机构，建设种苗繁殖温室、组培室、育种圃、新品种展示圃等配套设施，开展林果花草蜂药种业科技创新和成果转化。（责任单位：中关村延庆园服务中心、区科委、区园林绿化局、区农业农村局、世园公司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支持科研院校建设专业研发实验室、新品种选育基地，以及院士工作站和博士后工作站等成果转化和人才培养基地，加强技</w:t>
      </w:r>
      <w:r>
        <w:rPr>
          <w:rFonts w:ascii="仿宋_GB2312" w:eastAsia="仿宋_GB2312" w:hAnsi="仿宋_GB2312" w:cs="仿宋_GB2312" w:hint="eastAsia"/>
          <w:sz w:val="32"/>
          <w:szCs w:val="32"/>
        </w:rPr>
        <w:lastRenderedPageBreak/>
        <w:t>术创新、新品种研发和种业人才培养。（责任单位：中关村延庆园服务中心、区科委、区园林绿化局、区农业农村局等）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36" w:name="_Toc5058"/>
      <w:bookmarkStart w:id="37" w:name="_Toc23048"/>
      <w:r>
        <w:rPr>
          <w:rFonts w:ascii="仿宋_GB2312" w:eastAsia="仿宋_GB2312" w:hAnsi="仿宋_GB2312" w:cs="仿宋_GB2312" w:hint="eastAsia"/>
          <w:sz w:val="32"/>
          <w:szCs w:val="32"/>
        </w:rPr>
        <w:t>4.开展林果花草蜂药种业联合攻关</w:t>
      </w:r>
      <w:bookmarkEnd w:id="36"/>
      <w:bookmarkEnd w:id="37"/>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重点依托京内科研单位，深化与延庆种企合作，积极承担国家级和市级科研攻关任务，开展林果花草蜂药品种改良联合攻关。（责任单位：区科委、区园林绿化局、区农业农村局、相关科研院校和企业等）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建立项目储备库制度，按照“实施一批、谋划一批、储备一批”的原则，策划组织一批林果花草蜂药种业联合攻关项目，纳入市、区两级“十四五”时期重点项目清单。（责任单位：区科委、中关村延庆园服务中心、区园林绿化局、区农业农村局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围绕优良新品种选育、种苗规模化高效繁育、知识产权保护等种业创新孵化关键环节，采取企业与政府共同出资形式，联合发布一批“揭榜挂帅”种业创新攻关项目，快速解决种业卡点堵点。（责任单位：区科委、中关村延庆园服务中心、区财政局、区园林绿化局、区农业农村局和相关企业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38" w:name="_Toc8854"/>
      <w:bookmarkStart w:id="39" w:name="_Toc31662"/>
      <w:r>
        <w:rPr>
          <w:rFonts w:ascii="仿宋_GB2312" w:eastAsia="仿宋_GB2312" w:hAnsi="仿宋_GB2312" w:cs="仿宋_GB2312" w:hint="eastAsia"/>
          <w:sz w:val="32"/>
          <w:szCs w:val="32"/>
        </w:rPr>
        <w:t>5.持续选育林果花草蜂药特色优势新品种</w:t>
      </w:r>
      <w:bookmarkEnd w:id="38"/>
      <w:bookmarkEnd w:id="39"/>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依托种业企业和科研院校等创新主体，根据市场需求导向，充分发挥延庆冷凉气候优势，重点围绕百合、郁金香、牡丹、芍药、菊花等球根花卉、北京市花、传统名花、药食同源植物优势物种，侧重抗寒耐旱、低碳、轻维护等绿色发展选育方向，开展高价值、功能型、有文化内涵等新优品种持续选育。（责任单位：</w:t>
      </w:r>
      <w:r>
        <w:rPr>
          <w:rFonts w:ascii="仿宋_GB2312" w:eastAsia="仿宋_GB2312" w:hAnsi="仿宋_GB2312" w:cs="仿宋_GB2312" w:hint="eastAsia"/>
          <w:sz w:val="32"/>
          <w:szCs w:val="32"/>
        </w:rPr>
        <w:lastRenderedPageBreak/>
        <w:t>相关科研院校和企业、区园林绿化局、区农业农村局等）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对自主品种的选育、审定、繁育和推广给予政策支持，对通过国家或省市级审定的品种以及获得国家植物新品种权的品种给予一次性资金补贴。（责任单位：区园林绿化局、区农业农村局等）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鼓励引进国外品种开展新品种培育，通过国家或省市级品种审定或推广产生显著经济效益的，对其引种费用给予补贴。（责任单位：区园林绿化局、区农业农村局等）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40" w:name="_Toc30253"/>
      <w:bookmarkStart w:id="41" w:name="_Toc21785"/>
      <w:bookmarkStart w:id="42" w:name="OLE_LINK4"/>
      <w:r>
        <w:rPr>
          <w:rFonts w:ascii="楷体_GB2312" w:eastAsia="楷体_GB2312" w:hAnsi="楷体_GB2312" w:cs="楷体_GB2312" w:hint="eastAsia"/>
          <w:sz w:val="32"/>
          <w:szCs w:val="32"/>
        </w:rPr>
        <w:t>（三）种苗繁育基地建设行动</w:t>
      </w:r>
      <w:bookmarkEnd w:id="40"/>
      <w:bookmarkEnd w:id="41"/>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43" w:name="_Toc17343"/>
      <w:bookmarkStart w:id="44" w:name="_Toc24024"/>
      <w:r>
        <w:rPr>
          <w:rFonts w:ascii="仿宋_GB2312" w:eastAsia="仿宋_GB2312" w:hAnsi="仿宋_GB2312" w:cs="仿宋_GB2312" w:hint="eastAsia"/>
          <w:sz w:val="32"/>
          <w:szCs w:val="32"/>
        </w:rPr>
        <w:t>6.建设冷凉植物种球种苗繁育基地</w:t>
      </w:r>
      <w:bookmarkEnd w:id="43"/>
      <w:bookmarkEnd w:id="44"/>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在土地租赁、贷款、基础设施配套等方面提供便利，支持企业联合科研院校，围绕百合、郁金香、牡丹、芍药、菊花等花草主导品种和主推产品，充分利用延庆冷凉气候优势，积极对接市场需求，建设或改扩建球根花卉等冷凉优势植物种球种苗研发快繁基地、优良品种种植储存加工标准化示范基地，提升种球种苗供应能力。（责任单位：区农业农村局、区园林绿化局、世园公司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积极培育特色苗圃产业，重点发展油松、观赏海棠、延庆乡土树种、老北京珍稀树种等苗木，扩大苗木、观赏草等种苗繁育基地。加强黄芩等中药材良种繁育和种植示范基地建设，并注重提升中药材机械化水平。建设蜜蜂养殖基地和蜂产业研发研制基地，开展蜜蜂养殖和特色产品开发。（责任单位：区园林绿化局、</w:t>
      </w:r>
      <w:r>
        <w:rPr>
          <w:rFonts w:ascii="仿宋_GB2312" w:eastAsia="仿宋_GB2312" w:hAnsi="仿宋_GB2312" w:cs="仿宋_GB2312" w:hint="eastAsia"/>
          <w:sz w:val="32"/>
          <w:szCs w:val="32"/>
        </w:rPr>
        <w:lastRenderedPageBreak/>
        <w:t>区农业农村局等）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以高附加值种球种苗繁育基地为重点应用对象，加大智慧农业技术成果的推广应用，提升农业科技和装备的信息化、数字化、智能化水平，推动智慧农业高质量发展。（责任单位：区农业农村局、区园林绿化局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45" w:name="_Toc9518"/>
      <w:bookmarkStart w:id="46" w:name="_Toc6033"/>
      <w:r>
        <w:rPr>
          <w:rFonts w:ascii="仿宋_GB2312" w:eastAsia="仿宋_GB2312" w:hAnsi="仿宋_GB2312" w:cs="仿宋_GB2312" w:hint="eastAsia"/>
          <w:sz w:val="32"/>
          <w:szCs w:val="32"/>
        </w:rPr>
        <w:t>7.推进区内农业园区和外埠基地协同发展</w:t>
      </w:r>
      <w:bookmarkEnd w:id="45"/>
      <w:bookmarkEnd w:id="46"/>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充分发挥延庆林果花草蜂药种业人才和科技优势、北京市消费市场优势和北京周边土地优势，形成创新核心区、育繁推示范区和产业辐射区协同发展的林果花草蜂药种业产业基地布局。依托以世园公园为核心的种业创新核心区，整合国际马铃薯大会、世界葡萄博览园、首农食品集团延庆农场及其他优质农业园区等资源，建成一批以林木、果品、花卉等特色鲜明的育繁推示范区，利用京内有限场地和土地资源做好技术创新、品种创制和小范围展示，辐射带动林果花草蜂药种业及相关产业高质量发展。（责任单位：区农业农村局、中关村延庆园服务中心、区园林绿化局、世园公司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支持从事种苗繁育的企业通过兼并重组、订单供种等形式，积极开拓外埠基地，在北方地区和其他适宜相关品种繁育地区开展大规模繁育和生产加工，推动自主品种规模化推广应用，同时积极开拓国际市场，提升自主品种和自主品牌国际知名度。（责任单位：区园林绿化局、区农业农村局、世园公司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47" w:name="_Toc30122"/>
      <w:bookmarkStart w:id="48" w:name="_Toc30955"/>
      <w:r>
        <w:rPr>
          <w:rFonts w:ascii="楷体_GB2312" w:eastAsia="楷体_GB2312" w:hAnsi="楷体_GB2312" w:cs="楷体_GB2312" w:hint="eastAsia"/>
          <w:sz w:val="32"/>
          <w:szCs w:val="32"/>
        </w:rPr>
        <w:t>（四）</w:t>
      </w:r>
      <w:bookmarkEnd w:id="42"/>
      <w:r>
        <w:rPr>
          <w:rFonts w:ascii="楷体_GB2312" w:eastAsia="楷体_GB2312" w:hAnsi="楷体_GB2312" w:cs="楷体_GB2312" w:hint="eastAsia"/>
          <w:sz w:val="32"/>
          <w:szCs w:val="32"/>
        </w:rPr>
        <w:t>种业成果展示交易行动</w:t>
      </w:r>
      <w:bookmarkEnd w:id="47"/>
      <w:bookmarkEnd w:id="48"/>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49" w:name="_Toc24894"/>
      <w:bookmarkStart w:id="50" w:name="_Toc21770"/>
      <w:r>
        <w:rPr>
          <w:rFonts w:ascii="仿宋_GB2312" w:eastAsia="仿宋_GB2312" w:hAnsi="仿宋_GB2312" w:cs="仿宋_GB2312" w:hint="eastAsia"/>
          <w:sz w:val="32"/>
          <w:szCs w:val="32"/>
        </w:rPr>
        <w:lastRenderedPageBreak/>
        <w:t>8.形成国际林果花草蜂药文化展示和交流交易中心</w:t>
      </w:r>
      <w:bookmarkEnd w:id="49"/>
      <w:bookmarkEnd w:id="50"/>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充分利用世园公园等场地资源和展会经验，提升种业展示应用空间基础设施，以延庆区特色品种和创新孵化基地相关单位自主品种为重点，利用“线上+线下”相结合的方式，通过各种以种业为主题的文化节、美食节、拍卖会等活动，做好国内外林果花草蜂药优良种质资源和种业文化展示展览。（责任单位：世园公司、区园林绿化局、区农业农村局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建设林果花草蜂药进出口检测检疫平台（北方）和产品进出口交易平台，为种球种苗进出口提供检验检疫公共服务，实现进出口交易便利化和规范化，促进林果花草蜂药种业及相关产品进出口。（责任单位：区园林绿化局、区农业农村局、世园公司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积极办好中国北京种业大会林果花草蜂药峰会，举办各类以林果花草蜂药种业为主题的国内外高水平展会和论坛，持续提升延庆林果花草蜂药种业影响力。（责任单位：区园林绿化局、区农业农村局、世园公司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51" w:name="_Toc21978"/>
      <w:bookmarkStart w:id="52" w:name="_Toc15455"/>
      <w:r>
        <w:rPr>
          <w:rFonts w:ascii="仿宋_GB2312" w:eastAsia="仿宋_GB2312" w:hAnsi="仿宋_GB2312" w:cs="仿宋_GB2312" w:hint="eastAsia"/>
          <w:sz w:val="32"/>
          <w:szCs w:val="32"/>
        </w:rPr>
        <w:t>9.加快种业科技成果转移转化</w:t>
      </w:r>
      <w:bookmarkEnd w:id="51"/>
      <w:bookmarkEnd w:id="52"/>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搭建林果花草蜂药种业成果转移转化交易平台，建立科技成果统一登记、第三方评价和定期发布机制，结合线下展会、论坛等交流活动，服务北京及全国林果花草蜂药种业科研院校和企业，加快种业科技成果转化。（责任单位：区科委、区园林绿化局、区农业农村局、中关村延庆园服务中心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实施自主品种后补贴政策，鼓励区内企业积极对接科研院校，</w:t>
      </w:r>
      <w:r>
        <w:rPr>
          <w:rFonts w:ascii="仿宋_GB2312" w:eastAsia="仿宋_GB2312" w:hAnsi="仿宋_GB2312" w:cs="仿宋_GB2312" w:hint="eastAsia"/>
          <w:sz w:val="32"/>
          <w:szCs w:val="32"/>
        </w:rPr>
        <w:lastRenderedPageBreak/>
        <w:t>开展林果花草蜂药种业科技成果转移转化，对创新性强、市场接受度高、农民增收贡献大的自主品种，按照推广成本给予一定比例补贴，促进自主品种推广应用。（责任单位：区科委、区农业农村局、区园林绿化局、区财政局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53" w:name="_Toc14128"/>
      <w:bookmarkStart w:id="54" w:name="_Toc20025"/>
      <w:r>
        <w:rPr>
          <w:rFonts w:ascii="仿宋_GB2312" w:eastAsia="仿宋_GB2312" w:hAnsi="仿宋_GB2312" w:cs="仿宋_GB2312" w:hint="eastAsia"/>
          <w:sz w:val="32"/>
          <w:szCs w:val="32"/>
        </w:rPr>
        <w:t>10.打造特色优势种业品牌。</w:t>
      </w:r>
      <w:bookmarkEnd w:id="53"/>
      <w:bookmarkEnd w:id="54"/>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依托“妫水农耕”品牌建设，实施延庆种业品牌提升计划，加大品牌宣传力度，提升延庆国光苹果、延怀河谷葡萄、延庆香白杏、燕山板栗等国家地理标志认证品牌知名度。（责任单位：区园林绿化局、区农业农村局、区市场监管局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支持延庆种业品牌提档升级，积极参与“京”字号种业品牌创建活动和“北京农业好品牌和农业好把式”评选活动，将延庆种业品牌打造成为拥有自主知识产权的“京花、京果、京苗”品牌，持续增强延庆种业品牌影响力。（责任单位：区园林绿化局、区农业农村局、区市场监管局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对审定的林果花草蜂药特色品种实施“分子身份证”计划，构建和推广“分子身份证”技术体系，提升特色品种辨识度和知识产权保护能力。（责任单位：区园林绿化局、区农业农村局等）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以北京道地药材和药食同源类中药材为主开发一系列具有北京特色的地理标志产品，提升延庆中药材品牌知名度。（责任单位：区农业农村局等）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55" w:name="_Toc26145"/>
      <w:bookmarkStart w:id="56" w:name="_Toc20556"/>
      <w:r>
        <w:rPr>
          <w:rFonts w:ascii="楷体_GB2312" w:eastAsia="楷体_GB2312" w:hAnsi="楷体_GB2312" w:cs="楷体_GB2312" w:hint="eastAsia"/>
          <w:sz w:val="32"/>
          <w:szCs w:val="32"/>
        </w:rPr>
        <w:t>（五）种业产业聚集孵化行动</w:t>
      </w:r>
      <w:bookmarkEnd w:id="55"/>
      <w:bookmarkEnd w:id="56"/>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57" w:name="_Toc28451"/>
      <w:bookmarkStart w:id="58" w:name="_Toc13726"/>
      <w:r>
        <w:rPr>
          <w:rFonts w:ascii="仿宋_GB2312" w:eastAsia="仿宋_GB2312" w:hAnsi="仿宋_GB2312" w:cs="仿宋_GB2312" w:hint="eastAsia"/>
          <w:sz w:val="32"/>
          <w:szCs w:val="32"/>
        </w:rPr>
        <w:t>11.完善种业产业公共基础设施</w:t>
      </w:r>
      <w:bookmarkEnd w:id="57"/>
      <w:bookmarkEnd w:id="58"/>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lastRenderedPageBreak/>
        <w:t>支持科研院校和企业改造提升检测实验室、智能温室、冷库等种业基础设施。（责任单位：区园林绿化局、区农业农村局等）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充分盘活全区现有场地资源和基础设施，重点统筹世园公园、国际马铃薯大会、世界葡萄博览园现有可利用场地、基础设施，创建基础设施共享模式，合理配置种业产业相关功能，提高硬件资源利用效果，扩建具有预冷功能等功能完善的种苗、种球存储冷库，建立冷链仓储共享机制。（责任单位：区农业农村局、区园林绿化局、世园公司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积极协调各相关物流配送企业，联合种苗、种球冷链需求种业企业，构建种苗种球及相关终端产品冷链物流网络，加快种业产业发展。（责任单位：区农业农村局、区园林绿化局等、中国邮政集团有限公司北京市延庆区分公司）</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59" w:name="_Toc19384"/>
      <w:bookmarkStart w:id="60" w:name="_Toc9871"/>
      <w:r>
        <w:rPr>
          <w:rFonts w:ascii="仿宋_GB2312" w:eastAsia="仿宋_GB2312" w:hAnsi="仿宋_GB2312" w:cs="仿宋_GB2312" w:hint="eastAsia"/>
          <w:sz w:val="32"/>
          <w:szCs w:val="32"/>
        </w:rPr>
        <w:t>12.搭建全国林果花草蜂药种业企业聚集平台</w:t>
      </w:r>
      <w:bookmarkEnd w:id="59"/>
      <w:bookmarkEnd w:id="60"/>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根据种业企业和产业链相关企业实际需求，发挥中关村政策优势，在用地指标、基础设施配套、上市融资、创新创业奖励等方面，制定促进种业创新要素和优势资源集聚的种业孵化政策，吸引国内外林果花草蜂药种业领军企业和产业链上下游龙头企业在延庆设立总部、创新中心或繁育基地，持续开展种业创新创业和成果转化。（责任单位：区园林绿化局、区农业农村局、市规划自然资源委延庆分局、中关村延庆园服务中心、相关企业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支持种业领军企业兼并重组，整合国内外优质种业资源和创新要素，积极拓展进出口贸易，持续提升种业创新能力和市场竞</w:t>
      </w:r>
      <w:r>
        <w:rPr>
          <w:rFonts w:ascii="仿宋_GB2312" w:eastAsia="仿宋_GB2312" w:hAnsi="仿宋_GB2312" w:cs="仿宋_GB2312" w:hint="eastAsia"/>
          <w:sz w:val="32"/>
          <w:szCs w:val="32"/>
        </w:rPr>
        <w:lastRenderedPageBreak/>
        <w:t>争力；鼓励种业企业挂牌上市，对上市成功的种业企业给予奖励。（责任单位：区商务局、区科委、区园林绿化局、区农业农村局、相关企业等）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探索设立创新创业场地租金补贴、贷款贴息等优惠政策，提供公司注册、知识产权申请和评估、公共科研试验、成果转化交易等保姆式服务，加速创新型中小种业企业孵化。（责任单位：中关村延庆园服务中心、区园林绿化局、区农业农村局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充分发挥科研院校、创新联盟、种业智库和行业协会等机构专家力量，搭建林果花草蜂药种业专家智库咨询服务平台，加强种业体制机制创新研究，为企业提供种业咨询服务。（责任单位：中关村延庆园服务中心、区园林绿化局、区农业农村局、相关科研院校和企业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61" w:name="_Toc23849"/>
      <w:bookmarkStart w:id="62" w:name="_Toc3362"/>
      <w:r>
        <w:rPr>
          <w:rFonts w:ascii="仿宋_GB2312" w:eastAsia="仿宋_GB2312" w:hAnsi="仿宋_GB2312" w:cs="仿宋_GB2312" w:hint="eastAsia"/>
          <w:sz w:val="32"/>
          <w:szCs w:val="32"/>
        </w:rPr>
        <w:t>13.打造林果花草蜂药“种业+”产业集群</w:t>
      </w:r>
      <w:bookmarkEnd w:id="61"/>
      <w:bookmarkEnd w:id="62"/>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支持林果花草蜂药企业以种业为引领，加强自主品种培育和示范推广，扩大种苗种球繁育规模，布局终端产品生产加工，搭建“线上+线下”销售网络，积极开拓国内市场和国际市场，做大做强林果花草蜂药种业。（责任单位：相关企业、区园林绿化局、区农业农村局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以自主品种推广展示为重点，强化种业对下游产业的引领和拓展功能，发展“种业+园艺”“种业+林下经济”“种业+蜂”等产业新模式，促进种业相关产业发展，助力乡村振兴。突出种业特色，促进种业与科普研学、休闲旅游等相关产业深度融合，发</w:t>
      </w:r>
      <w:r>
        <w:rPr>
          <w:rFonts w:ascii="仿宋_GB2312" w:eastAsia="仿宋_GB2312" w:hAnsi="仿宋_GB2312" w:cs="仿宋_GB2312" w:hint="eastAsia"/>
          <w:sz w:val="32"/>
          <w:szCs w:val="32"/>
        </w:rPr>
        <w:lastRenderedPageBreak/>
        <w:t>展“种业+科普研学”“种业+休闲旅游”等产业。（责任单位：区园林绿化局、区农业农村局、区教委、区文化和旅游局等）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在改造提升延庆国家农业科技园区的基础上，加快种业企业、科研院校和创新人才聚集，提升种业科技创新能力和成果转化能力，加速种业产业孵化，积极申报和创建以林果花草种业为特色的国家现代农业产业园，为打造北京林果花草蜂药种业创新高地提供强有力支撑。（责任单位：区农业农村局、区园林绿化局、区科委、中关村延庆园服务中心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63" w:name="_Toc31691"/>
      <w:bookmarkStart w:id="64" w:name="_Toc26198"/>
      <w:r>
        <w:rPr>
          <w:rFonts w:ascii="黑体" w:eastAsia="黑体" w:hAnsi="黑体" w:cs="黑体" w:hint="eastAsia"/>
          <w:sz w:val="32"/>
          <w:szCs w:val="32"/>
        </w:rPr>
        <w:t>四、保障措施</w:t>
      </w:r>
      <w:bookmarkEnd w:id="63"/>
      <w:bookmarkEnd w:id="64"/>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65" w:name="_Toc31859"/>
      <w:bookmarkStart w:id="66" w:name="_Toc22945"/>
      <w:r>
        <w:rPr>
          <w:rFonts w:ascii="楷体_GB2312" w:eastAsia="楷体_GB2312" w:hAnsi="楷体_GB2312" w:cs="楷体_GB2312" w:hint="eastAsia"/>
          <w:sz w:val="32"/>
          <w:szCs w:val="32"/>
        </w:rPr>
        <w:t>（一）加强组织领导</w:t>
      </w:r>
      <w:bookmarkEnd w:id="65"/>
      <w:bookmarkEnd w:id="66"/>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落实党政同责，把种业发展作为实现乡村振兴、推进农业农村现代化的重点任务，列入区委常委会和区政府常务会议议事日程。依托北京延庆国家农业科技园区建设领导小组，做好种业振兴顶层设计，统筹协调和管理全区林果花草蜂药种业创新孵化工作。强化各成员单位责任落实，明确任务分工，建立健全部门协调工作机制，确保各项工作落实到位。加强考核管理，把种业发展列入有关部门年度考核内容，确保责任落实。（责任单位：区相关部门）</w:t>
      </w:r>
    </w:p>
    <w:p w:rsidR="005E3A37" w:rsidRDefault="005E3A37" w:rsidP="005E3A37">
      <w:pPr>
        <w:adjustRightInd w:val="0"/>
        <w:snapToGrid w:val="0"/>
        <w:spacing w:line="560" w:lineRule="exact"/>
        <w:ind w:firstLineChars="200" w:firstLine="640"/>
        <w:rPr>
          <w:rFonts w:ascii="楷体_GB2312" w:eastAsia="楷体_GB2312" w:hAnsi="楷体_GB2312" w:cs="楷体_GB2312" w:hint="eastAsia"/>
          <w:sz w:val="32"/>
          <w:szCs w:val="32"/>
        </w:rPr>
      </w:pPr>
      <w:bookmarkStart w:id="67" w:name="_Toc9351"/>
      <w:bookmarkStart w:id="68" w:name="_Toc20989"/>
      <w:r>
        <w:rPr>
          <w:rFonts w:ascii="楷体_GB2312" w:eastAsia="楷体_GB2312" w:hAnsi="楷体_GB2312" w:cs="楷体_GB2312" w:hint="eastAsia"/>
          <w:sz w:val="32"/>
          <w:szCs w:val="32"/>
        </w:rPr>
        <w:t>（二）强化政策支撑</w:t>
      </w:r>
      <w:bookmarkEnd w:id="67"/>
      <w:bookmarkEnd w:id="68"/>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加快出台吸引创新主体聚集、鼓励创新创业的种业优惠政策。在完成耕地保护目标的前提下，统筹区内林地、园地等非基本农田，优先用于林果花草蜂药种业科研和繁育，保障种业科研生产</w:t>
      </w:r>
      <w:r>
        <w:rPr>
          <w:rFonts w:ascii="仿宋_GB2312" w:eastAsia="仿宋_GB2312" w:hAnsi="仿宋_GB2312" w:cs="仿宋_GB2312" w:hint="eastAsia"/>
          <w:sz w:val="32"/>
          <w:szCs w:val="32"/>
        </w:rPr>
        <w:lastRenderedPageBreak/>
        <w:t>用地长期稳定，不得随意征占。合理配置科研实验设施和其它必要基础设施的建设用地指标。建立科研院校和种业企业的种业重大项目“一事一议”机制，开辟绿色通道，实行特事特办。（责任单位：市规划自然资源委延庆分局、区财政局、区园林绿化局、区农业农村局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69" w:name="_Toc17767"/>
      <w:bookmarkStart w:id="70" w:name="_Toc12055"/>
      <w:r>
        <w:rPr>
          <w:rFonts w:ascii="楷体_GB2312" w:eastAsia="楷体_GB2312" w:hAnsi="楷体_GB2312" w:cs="楷体_GB2312" w:hint="eastAsia"/>
          <w:sz w:val="32"/>
          <w:szCs w:val="32"/>
        </w:rPr>
        <w:t>（三）加大资金支持</w:t>
      </w:r>
      <w:bookmarkEnd w:id="69"/>
      <w:bookmarkEnd w:id="70"/>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按照相关要求做好资金保障工作，对重要创新主体入驻、科研项目立项、重大成果产出和转化、种业企业扶优扶强等环节予以资金支持。探索多元投入方式，鼓励和支持社会资本投资现代种业创新，支持相关企业联合农业投资公司成立种业基金，重点投资种业企业重大品种研发、生产规模扩容、销售渠道拓展等业务。持续完善税收优惠政策直达快享机制，推进简并税费申报，优化种业企业办税流程。对符合条件的创新型种业企业，可按规定享受国家和市级支持科技创新的研发费用税前加计扣除，以及企业所得税和个人所得税优惠政策。（责任单位：区财政局、区发展改革委、延庆税务局、中关村延庆园服务中心、区科委、区园林绿化局、区农业农村局、世园公司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71" w:name="_Toc7194"/>
      <w:bookmarkStart w:id="72" w:name="_Toc17453"/>
      <w:r>
        <w:rPr>
          <w:rFonts w:ascii="楷体_GB2312" w:eastAsia="楷体_GB2312" w:hAnsi="楷体_GB2312" w:cs="楷体_GB2312" w:hint="eastAsia"/>
          <w:sz w:val="32"/>
          <w:szCs w:val="32"/>
        </w:rPr>
        <w:t>（四）激发人才活力</w:t>
      </w:r>
      <w:bookmarkEnd w:id="71"/>
      <w:bookmarkEnd w:id="72"/>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对林果花草蜂药种业创新孵化相关领域重点用人单位在进京落户、项目评定、人才认定、经费使用、编制保障、人才调用、职称评审等方面给予政策保障。开展种业领域人才职称自主评聘，对种质资源保护利用等基础研究人员实施分类评价。健全种业高</w:t>
      </w:r>
      <w:r>
        <w:rPr>
          <w:rFonts w:ascii="仿宋_GB2312" w:eastAsia="仿宋_GB2312" w:hAnsi="仿宋_GB2312" w:cs="仿宋_GB2312" w:hint="eastAsia"/>
          <w:sz w:val="32"/>
          <w:szCs w:val="32"/>
        </w:rPr>
        <w:lastRenderedPageBreak/>
        <w:t>端人才收益分配机制，在薪酬待遇、科研经费使用、股权激励等方面深化配套改革，高效实现种业科研人员知识价值。对入驻园区建设人才培训基地的种业企业和第三方机构予以重点支持。加大政务服务、交通住房、教育医疗、文化休闲、创新创业等要素集聚，建设宜居宜业人才社区。（责任单位：区科委、区人力资源社会保障局、区教委、区园林绿化局、区农业农村局、中关村延庆园服务中心等）</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bookmarkStart w:id="73" w:name="_Toc28421"/>
      <w:bookmarkStart w:id="74" w:name="_Toc29144"/>
      <w:bookmarkStart w:id="75" w:name="_Toc14117"/>
      <w:r>
        <w:rPr>
          <w:rFonts w:ascii="黑体" w:eastAsia="黑体" w:hAnsi="黑体" w:cs="黑体" w:hint="eastAsia"/>
          <w:sz w:val="32"/>
          <w:szCs w:val="32"/>
        </w:rPr>
        <w:t>五、编制依据</w:t>
      </w:r>
      <w:bookmarkEnd w:id="73"/>
      <w:bookmarkEnd w:id="74"/>
      <w:bookmarkEnd w:id="75"/>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1.中共中央办公厅、国务院办公厅《种业振兴行动方案》</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2.北京市委办公厅、北京市人民政府办公厅《北京种业振兴实施方案（2021-2030年）》</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3.中共中央、国务院《关于全面推进乡村振兴加快农业农村现代化的意见》</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4.国务院《“十四五”推进农业农村现代化规划》</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5.北京市人民政府《北京市国民经济和社会发展第十四个五年规划和二〇三五年远景目标纲要》</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6.北京市人民政府《北京市“十四五”时期国际科技创新中心建设规划》</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7.北京市人民政府《北京市“十四五”时期乡村振兴战略实施规划》</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8.北京市延庆区人民政府《国民经济和社会发展第十四个五年规划和二〇三五年远景目标纲要》</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lastRenderedPageBreak/>
        <w:t>9.北京市延庆区人民政府《“十四五”时期乡村振兴战略实施规划（2021-2025）》</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10.北京市延庆区人民政府《世园会会后利用三年行动计划（2021-2023年）》</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11.北京市延庆区人民政府《中关村现代园艺产业创新中心建设三年行动计划（2020-2022）》</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12.北京市延庆区人民政府《北京市延庆区休闲农业发展规划（2021-2025）》</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13.北京市延庆区人民政府《延庆区“十四五”时期文化和旅游发展规划（2021-2025）》</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14.北京市延庆区园林绿化局《延庆区“十四五”时期园林绿化发展规划》</w:t>
      </w: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p>
    <w:p w:rsidR="005E3A37" w:rsidRDefault="005E3A37" w:rsidP="005E3A37">
      <w:pPr>
        <w:adjustRightInd w:val="0"/>
        <w:snapToGrid w:val="0"/>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附件：北京延庆林果花草蜂药种业创新孵化基地建设专项行</w:t>
      </w:r>
    </w:p>
    <w:p w:rsidR="005E3A37" w:rsidRDefault="005E3A37" w:rsidP="005E3A37">
      <w:pPr>
        <w:adjustRightInd w:val="0"/>
        <w:snapToGrid w:val="0"/>
        <w:spacing w:line="560" w:lineRule="exact"/>
        <w:ind w:firstLineChars="469" w:firstLine="1501"/>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动重点任务分工方案</w:t>
      </w:r>
    </w:p>
    <w:p w:rsidR="005E3A37" w:rsidRDefault="005E3A37" w:rsidP="005E3A37">
      <w:pPr>
        <w:pStyle w:val="a3"/>
        <w:rPr>
          <w:rFonts w:ascii="仿宋_GB2312" w:eastAsia="仿宋_GB2312" w:hAnsi="仿宋_GB2312" w:cs="仿宋_GB2312" w:hint="eastAsia"/>
          <w:sz w:val="32"/>
          <w:szCs w:val="32"/>
        </w:rPr>
      </w:pPr>
    </w:p>
    <w:p w:rsidR="005E3A37" w:rsidRDefault="005E3A37" w:rsidP="005E3A37">
      <w:pPr>
        <w:rPr>
          <w:rFonts w:ascii="仿宋_GB2312" w:eastAsia="仿宋_GB2312" w:hAnsi="仿宋_GB2312" w:cs="仿宋_GB2312"/>
          <w:sz w:val="32"/>
          <w:szCs w:val="32"/>
        </w:rPr>
        <w:sectPr w:rsidR="005E3A37">
          <w:footerReference w:type="even" r:id="rId6"/>
          <w:footerReference w:type="default" r:id="rId7"/>
          <w:pgSz w:w="11906" w:h="16838"/>
          <w:pgMar w:top="2098" w:right="1474" w:bottom="1985" w:left="1588" w:header="851" w:footer="992" w:gutter="0"/>
          <w:cols w:space="720"/>
          <w:docGrid w:type="lines" w:linePitch="312"/>
        </w:sectPr>
      </w:pPr>
    </w:p>
    <w:p w:rsidR="005E3A37" w:rsidRDefault="005E3A37" w:rsidP="005E3A37">
      <w:pPr>
        <w:pStyle w:val="a3"/>
        <w:adjustRightInd w:val="0"/>
        <w:spacing w:line="560" w:lineRule="exact"/>
        <w:rPr>
          <w:rFonts w:ascii="仿宋_GB2312" w:eastAsia="仿宋_GB2312" w:hAnsi="仿宋_GB2312" w:cs="仿宋_GB2312" w:hint="eastAsia"/>
          <w:sz w:val="32"/>
          <w:szCs w:val="32"/>
        </w:rPr>
      </w:pPr>
      <w:r>
        <w:rPr>
          <w:rFonts w:ascii="黑体" w:eastAsia="黑体" w:hAnsi="黑体" w:cs="黑体" w:hint="eastAsia"/>
          <w:sz w:val="32"/>
          <w:szCs w:val="32"/>
        </w:rPr>
        <w:lastRenderedPageBreak/>
        <w:t>附件</w:t>
      </w:r>
    </w:p>
    <w:p w:rsidR="005E3A37" w:rsidRDefault="005E3A37" w:rsidP="005E3A37">
      <w:pPr>
        <w:adjustRightInd w:val="0"/>
        <w:snapToGrid w:val="0"/>
        <w:spacing w:line="560" w:lineRule="exact"/>
        <w:jc w:val="center"/>
        <w:rPr>
          <w:rFonts w:ascii="方正小标宋简体" w:eastAsia="方正小标宋简体" w:hAnsi="方正小标宋简体" w:cs="方正小标宋简体" w:hint="eastAsia"/>
          <w:sz w:val="44"/>
          <w:szCs w:val="44"/>
        </w:rPr>
      </w:pPr>
      <w:r>
        <w:rPr>
          <w:rFonts w:ascii="方正小标宋简体" w:eastAsia="方正小标宋简体" w:hAnsi="方正小标宋简体" w:cs="方正小标宋简体" w:hint="eastAsia"/>
          <w:sz w:val="44"/>
          <w:szCs w:val="44"/>
        </w:rPr>
        <w:t>北京延庆林果花草蜂药种业创新孵化基地建设专项行动</w:t>
      </w:r>
    </w:p>
    <w:p w:rsidR="005E3A37" w:rsidRDefault="005E3A37" w:rsidP="005E3A37">
      <w:pPr>
        <w:adjustRightInd w:val="0"/>
        <w:snapToGrid w:val="0"/>
        <w:spacing w:afterLines="60" w:line="560" w:lineRule="exact"/>
        <w:jc w:val="center"/>
        <w:rPr>
          <w:rFonts w:hint="eastAsia"/>
        </w:rPr>
      </w:pPr>
      <w:r>
        <w:rPr>
          <w:rFonts w:ascii="方正小标宋简体" w:eastAsia="方正小标宋简体" w:hAnsi="方正小标宋简体" w:cs="方正小标宋简体" w:hint="eastAsia"/>
          <w:sz w:val="44"/>
          <w:szCs w:val="44"/>
        </w:rPr>
        <w:t>重点任务分工方案</w:t>
      </w:r>
    </w:p>
    <w:tbl>
      <w:tblPr>
        <w:tblW w:w="13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86"/>
        <w:gridCol w:w="2432"/>
        <w:gridCol w:w="7834"/>
        <w:gridCol w:w="2585"/>
      </w:tblGrid>
      <w:tr w:rsidR="005E3A37" w:rsidTr="00E551E1">
        <w:trPr>
          <w:cantSplit/>
          <w:trHeight w:val="605"/>
          <w:tblHeader/>
          <w:jc w:val="center"/>
        </w:trPr>
        <w:tc>
          <w:tcPr>
            <w:tcW w:w="886" w:type="dxa"/>
            <w:vAlign w:val="center"/>
          </w:tcPr>
          <w:p w:rsidR="005E3A37" w:rsidRDefault="005E3A37" w:rsidP="00E551E1">
            <w:pPr>
              <w:adjustRightInd w:val="0"/>
              <w:snapToGrid w:val="0"/>
              <w:jc w:val="center"/>
              <w:rPr>
                <w:rFonts w:ascii="黑体" w:eastAsia="黑体" w:hAnsi="黑体" w:cs="黑体" w:hint="eastAsia"/>
                <w:color w:val="000000"/>
                <w:kern w:val="0"/>
                <w:sz w:val="24"/>
                <w:szCs w:val="24"/>
              </w:rPr>
            </w:pPr>
            <w:r>
              <w:rPr>
                <w:rFonts w:ascii="黑体" w:eastAsia="黑体" w:hAnsi="黑体" w:cs="黑体" w:hint="eastAsia"/>
                <w:color w:val="000000"/>
                <w:kern w:val="0"/>
                <w:sz w:val="24"/>
                <w:szCs w:val="24"/>
              </w:rPr>
              <w:t>序号</w:t>
            </w:r>
          </w:p>
        </w:tc>
        <w:tc>
          <w:tcPr>
            <w:tcW w:w="2432" w:type="dxa"/>
            <w:vAlign w:val="center"/>
          </w:tcPr>
          <w:p w:rsidR="005E3A37" w:rsidRDefault="005E3A37" w:rsidP="00E551E1">
            <w:pPr>
              <w:adjustRightInd w:val="0"/>
              <w:snapToGrid w:val="0"/>
              <w:jc w:val="center"/>
              <w:rPr>
                <w:rFonts w:ascii="黑体" w:eastAsia="黑体" w:hAnsi="黑体" w:cs="黑体" w:hint="eastAsia"/>
                <w:color w:val="000000"/>
                <w:kern w:val="0"/>
                <w:sz w:val="24"/>
                <w:szCs w:val="24"/>
              </w:rPr>
            </w:pPr>
            <w:r>
              <w:rPr>
                <w:rFonts w:ascii="黑体" w:eastAsia="黑体" w:hAnsi="黑体" w:cs="黑体" w:hint="eastAsia"/>
                <w:color w:val="000000"/>
                <w:kern w:val="0"/>
                <w:sz w:val="24"/>
                <w:szCs w:val="24"/>
              </w:rPr>
              <w:t>任务名称</w:t>
            </w:r>
          </w:p>
        </w:tc>
        <w:tc>
          <w:tcPr>
            <w:tcW w:w="7834" w:type="dxa"/>
            <w:vAlign w:val="center"/>
          </w:tcPr>
          <w:p w:rsidR="005E3A37" w:rsidRDefault="005E3A37" w:rsidP="00E551E1">
            <w:pPr>
              <w:adjustRightInd w:val="0"/>
              <w:snapToGrid w:val="0"/>
              <w:jc w:val="center"/>
              <w:rPr>
                <w:rFonts w:ascii="黑体" w:eastAsia="黑体" w:hAnsi="黑体" w:cs="黑体" w:hint="eastAsia"/>
                <w:color w:val="000000"/>
                <w:kern w:val="0"/>
                <w:sz w:val="24"/>
                <w:szCs w:val="24"/>
              </w:rPr>
            </w:pPr>
            <w:r>
              <w:rPr>
                <w:rFonts w:ascii="黑体" w:eastAsia="黑体" w:hAnsi="黑体" w:cs="黑体" w:hint="eastAsia"/>
                <w:color w:val="000000"/>
                <w:kern w:val="0"/>
                <w:sz w:val="24"/>
                <w:szCs w:val="24"/>
              </w:rPr>
              <w:t>主要内容</w:t>
            </w:r>
          </w:p>
        </w:tc>
        <w:tc>
          <w:tcPr>
            <w:tcW w:w="2585" w:type="dxa"/>
            <w:vAlign w:val="center"/>
          </w:tcPr>
          <w:p w:rsidR="005E3A37" w:rsidRDefault="005E3A37" w:rsidP="00E551E1">
            <w:pPr>
              <w:adjustRightInd w:val="0"/>
              <w:snapToGrid w:val="0"/>
              <w:jc w:val="center"/>
              <w:rPr>
                <w:rFonts w:ascii="黑体" w:eastAsia="黑体" w:hAnsi="黑体" w:cs="黑体" w:hint="eastAsia"/>
                <w:color w:val="000000"/>
                <w:kern w:val="0"/>
                <w:sz w:val="24"/>
                <w:szCs w:val="24"/>
              </w:rPr>
            </w:pPr>
            <w:r>
              <w:rPr>
                <w:rFonts w:ascii="黑体" w:eastAsia="黑体" w:hAnsi="黑体" w:cs="黑体" w:hint="eastAsia"/>
                <w:color w:val="000000"/>
                <w:kern w:val="0"/>
                <w:sz w:val="24"/>
                <w:szCs w:val="24"/>
              </w:rPr>
              <w:t>责任单位</w:t>
            </w:r>
          </w:p>
        </w:tc>
      </w:tr>
      <w:tr w:rsidR="005E3A37" w:rsidTr="00E551E1">
        <w:trPr>
          <w:cantSplit/>
          <w:trHeight w:val="543"/>
          <w:jc w:val="center"/>
        </w:trPr>
        <w:tc>
          <w:tcPr>
            <w:tcW w:w="13737" w:type="dxa"/>
            <w:gridSpan w:val="4"/>
            <w:vAlign w:val="center"/>
          </w:tcPr>
          <w:p w:rsidR="005E3A37" w:rsidRDefault="005E3A37" w:rsidP="00E551E1">
            <w:pPr>
              <w:adjustRightInd w:val="0"/>
              <w:snapToGrid w:val="0"/>
              <w:jc w:val="left"/>
              <w:rPr>
                <w:rFonts w:ascii="方正仿宋_GB2312" w:eastAsia="方正仿宋_GB2312" w:hAnsi="方正仿宋_GB2312" w:cs="方正仿宋_GB2312" w:hint="eastAsia"/>
                <w:b/>
                <w:bCs/>
                <w:color w:val="000000"/>
                <w:kern w:val="0"/>
                <w:sz w:val="24"/>
                <w:szCs w:val="24"/>
              </w:rPr>
            </w:pPr>
            <w:r>
              <w:rPr>
                <w:rFonts w:ascii="楷体_GB2312" w:eastAsia="楷体_GB2312" w:hAnsi="楷体_GB2312" w:cs="楷体_GB2312" w:hint="eastAsia"/>
                <w:color w:val="000000"/>
                <w:kern w:val="0"/>
                <w:sz w:val="24"/>
                <w:szCs w:val="24"/>
              </w:rPr>
              <w:t>一、种质资源保护利用行动</w:t>
            </w:r>
            <w:r>
              <w:rPr>
                <w:rFonts w:ascii="方正仿宋_GB2312" w:eastAsia="方正仿宋_GB2312" w:hAnsi="方正仿宋_GB2312" w:cs="方正仿宋_GB2312" w:hint="eastAsia"/>
                <w:b/>
                <w:bCs/>
                <w:color w:val="000000"/>
                <w:kern w:val="0"/>
                <w:sz w:val="24"/>
                <w:szCs w:val="24"/>
              </w:rPr>
              <w:t xml:space="preserve">　　</w:t>
            </w:r>
          </w:p>
        </w:tc>
      </w:tr>
      <w:tr w:rsidR="005E3A37" w:rsidTr="00E551E1">
        <w:trPr>
          <w:cantSplit/>
          <w:trHeight w:val="997"/>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1</w:t>
            </w:r>
          </w:p>
        </w:tc>
        <w:tc>
          <w:tcPr>
            <w:tcW w:w="2432"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开展延庆林果花草蜂药种质资源普查</w:t>
            </w:r>
          </w:p>
        </w:tc>
        <w:tc>
          <w:tcPr>
            <w:tcW w:w="7834"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color w:val="000000"/>
                <w:kern w:val="0"/>
                <w:sz w:val="24"/>
                <w:szCs w:val="24"/>
              </w:rPr>
              <w:t>开展延庆区特色、珍稀、濒危林果花草蜂药种质资源调查，建立延庆区林果花草蜂药种质资源档案，建立分类分级种质资源保护体系</w:t>
            </w:r>
          </w:p>
        </w:tc>
        <w:tc>
          <w:tcPr>
            <w:tcW w:w="2585"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区园林绿化局、区农业农村局等</w:t>
            </w:r>
          </w:p>
        </w:tc>
      </w:tr>
      <w:tr w:rsidR="005E3A37" w:rsidTr="00E551E1">
        <w:trPr>
          <w:cantSplit/>
          <w:trHeight w:val="2303"/>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2</w:t>
            </w:r>
          </w:p>
        </w:tc>
        <w:tc>
          <w:tcPr>
            <w:tcW w:w="2432"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建设林果花草蜂药专类种质资源备份库（圃）</w:t>
            </w:r>
          </w:p>
        </w:tc>
        <w:tc>
          <w:tcPr>
            <w:tcW w:w="7834"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支持北京市农林科学院、北京林业大学等科研院校和企业在延庆新建国家级或市级林果花草蜂药专类种质资源库（圃），支持国家多年生草本花卉种质资源圃（北京）、国家百合种质资源库等现有国家级林果花草蜂药种质资源保护库（圃）在延庆设立备份库（圃）或保护分支机构，配置必要的种质资源保存、检测和筛选等基础设施，加强特色优势种质资源保护和利用</w:t>
            </w:r>
          </w:p>
        </w:tc>
        <w:tc>
          <w:tcPr>
            <w:tcW w:w="2585"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区园林绿化局、区农业农村局等</w:t>
            </w:r>
          </w:p>
        </w:tc>
      </w:tr>
      <w:tr w:rsidR="005E3A37" w:rsidTr="00E551E1">
        <w:trPr>
          <w:cantSplit/>
          <w:trHeight w:val="1540"/>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3</w:t>
            </w:r>
          </w:p>
        </w:tc>
        <w:tc>
          <w:tcPr>
            <w:tcW w:w="2432"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升级改造延庆区种质资源库（圃）</w:t>
            </w:r>
          </w:p>
        </w:tc>
        <w:tc>
          <w:tcPr>
            <w:tcW w:w="7834"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加强对延庆区现有种质资源库（圃）进行改造升级，定期开展设施设备维护、检测保存种质资源活力、繁殖更新复壮等工作，申请市级或国家级种质资源库（圃）认定</w:t>
            </w:r>
          </w:p>
        </w:tc>
        <w:tc>
          <w:tcPr>
            <w:tcW w:w="2585"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区园林绿化局、区农业农村局等</w:t>
            </w:r>
          </w:p>
        </w:tc>
      </w:tr>
      <w:tr w:rsidR="005E3A37" w:rsidTr="00E551E1">
        <w:trPr>
          <w:cantSplit/>
          <w:trHeight w:val="1447"/>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4</w:t>
            </w:r>
          </w:p>
        </w:tc>
        <w:tc>
          <w:tcPr>
            <w:tcW w:w="2432"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建立林果花草蜂药种质资源信息共享平台</w:t>
            </w:r>
          </w:p>
        </w:tc>
        <w:tc>
          <w:tcPr>
            <w:tcW w:w="7834"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建立林果花草蜂药种质资源信息共享平台，完善并统一种质资源出入库和保存更新的标准、登记、技术流程规范，研究制订种质资源共享服务方案，实现种质资源材料多点保存、信息统一登记和发布、资源有偿共享，避免重复保护，提高保护利用效率</w:t>
            </w:r>
          </w:p>
        </w:tc>
        <w:tc>
          <w:tcPr>
            <w:tcW w:w="2585"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区园林绿化局、区农业农村局等</w:t>
            </w:r>
          </w:p>
        </w:tc>
      </w:tr>
      <w:tr w:rsidR="005E3A37" w:rsidTr="00E551E1">
        <w:trPr>
          <w:cantSplit/>
          <w:trHeight w:val="1758"/>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lastRenderedPageBreak/>
              <w:t>5</w:t>
            </w:r>
          </w:p>
        </w:tc>
        <w:tc>
          <w:tcPr>
            <w:tcW w:w="2432" w:type="dxa"/>
            <w:vAlign w:val="center"/>
          </w:tcPr>
          <w:p w:rsidR="005E3A37" w:rsidRDefault="005E3A37" w:rsidP="00E551E1">
            <w:pPr>
              <w:adjustRightInd w:val="0"/>
              <w:snapToGrid w:val="0"/>
              <w:rPr>
                <w:rFonts w:ascii="仿宋_GB2312" w:eastAsia="仿宋_GB2312" w:hAnsi="仿宋_GB2312" w:cs="仿宋_GB2312" w:hint="eastAsia"/>
                <w:sz w:val="24"/>
                <w:szCs w:val="24"/>
              </w:rPr>
            </w:pPr>
          </w:p>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建立种质资源鉴定评价体系</w:t>
            </w:r>
          </w:p>
        </w:tc>
        <w:tc>
          <w:tcPr>
            <w:tcW w:w="7834"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重点针对延庆区内保有的林果花草蜂药种质资源，采取“揭榜挂帅”等形式，联合市级相关部门发布一批种质资源鉴定和评价项目，依托林果花草蜂药种质资源保护与利用科研团队，制定种质资源鉴定评价标准和技术规范，建立完善种质资源鉴定评价体系，开展种质资源精准鉴定和综合评价</w:t>
            </w:r>
          </w:p>
        </w:tc>
        <w:tc>
          <w:tcPr>
            <w:tcW w:w="2585"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区科委、区园林绿化局、区农业农村局等</w:t>
            </w:r>
          </w:p>
        </w:tc>
      </w:tr>
      <w:tr w:rsidR="005E3A37" w:rsidTr="00E551E1">
        <w:trPr>
          <w:cantSplit/>
          <w:trHeight w:val="1445"/>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6</w:t>
            </w:r>
          </w:p>
        </w:tc>
        <w:tc>
          <w:tcPr>
            <w:tcW w:w="2432"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开展</w:t>
            </w:r>
            <w:r>
              <w:rPr>
                <w:rFonts w:ascii="仿宋_GB2312" w:eastAsia="仿宋_GB2312" w:hAnsi="仿宋_GB2312" w:cs="仿宋_GB2312" w:hint="eastAsia"/>
                <w:sz w:val="24"/>
                <w:szCs w:val="24"/>
              </w:rPr>
              <w:t>种质资源</w:t>
            </w:r>
            <w:r>
              <w:rPr>
                <w:rFonts w:ascii="仿宋_GB2312" w:eastAsia="仿宋_GB2312" w:hAnsi="仿宋_GB2312" w:cs="仿宋_GB2312" w:hint="eastAsia"/>
                <w:color w:val="000000"/>
                <w:kern w:val="0"/>
                <w:sz w:val="24"/>
                <w:szCs w:val="24"/>
              </w:rPr>
              <w:t>精准鉴定与评价</w:t>
            </w:r>
          </w:p>
        </w:tc>
        <w:tc>
          <w:tcPr>
            <w:tcW w:w="7834"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针对球根花卉等延庆优势植物开展全基因组水平的基因型鉴定和性状关联鉴定；针对野生种质资源开展抗病性、抗逆性等优势性状评价；针对赏食药兼用功能性种质资源开展感官品质、营养品质及功能性成分等鉴定评价</w:t>
            </w:r>
          </w:p>
        </w:tc>
        <w:tc>
          <w:tcPr>
            <w:tcW w:w="2585"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相关科研院校和企业等</w:t>
            </w:r>
          </w:p>
        </w:tc>
      </w:tr>
      <w:tr w:rsidR="005E3A37" w:rsidTr="00E551E1">
        <w:trPr>
          <w:cantSplit/>
          <w:trHeight w:val="1173"/>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7</w:t>
            </w:r>
          </w:p>
        </w:tc>
        <w:tc>
          <w:tcPr>
            <w:tcW w:w="2432"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引进第三方种业关键共性技术平台</w:t>
            </w:r>
          </w:p>
        </w:tc>
        <w:tc>
          <w:tcPr>
            <w:tcW w:w="7834"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引进第三方种业关键共性技术平台机构，提供种质资源鉴定、评价和利用等关键共性技术服务</w:t>
            </w:r>
          </w:p>
        </w:tc>
        <w:tc>
          <w:tcPr>
            <w:tcW w:w="2585"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区科委、中关村延庆园服务中心、区园林绿化局、区农业农村局等</w:t>
            </w:r>
          </w:p>
        </w:tc>
      </w:tr>
      <w:tr w:rsidR="005E3A37" w:rsidTr="00E551E1">
        <w:trPr>
          <w:cantSplit/>
          <w:trHeight w:val="596"/>
          <w:jc w:val="center"/>
        </w:trPr>
        <w:tc>
          <w:tcPr>
            <w:tcW w:w="13737" w:type="dxa"/>
            <w:gridSpan w:val="4"/>
            <w:noWrap/>
            <w:vAlign w:val="center"/>
          </w:tcPr>
          <w:p w:rsidR="005E3A37" w:rsidRDefault="005E3A37" w:rsidP="00E551E1">
            <w:pPr>
              <w:adjustRightInd w:val="0"/>
              <w:snapToGrid w:val="0"/>
              <w:rPr>
                <w:rFonts w:ascii="楷体" w:eastAsia="楷体" w:hAnsi="楷体" w:cs="楷体" w:hint="eastAsia"/>
                <w:color w:val="000000"/>
                <w:kern w:val="0"/>
                <w:sz w:val="24"/>
                <w:szCs w:val="24"/>
              </w:rPr>
            </w:pPr>
            <w:r>
              <w:rPr>
                <w:rFonts w:ascii="楷体_GB2312" w:eastAsia="楷体_GB2312" w:hAnsi="楷体_GB2312" w:cs="楷体_GB2312" w:hint="eastAsia"/>
                <w:color w:val="000000"/>
                <w:kern w:val="0"/>
                <w:sz w:val="24"/>
                <w:szCs w:val="24"/>
              </w:rPr>
              <w:t>二、种业科技创新行动</w:t>
            </w:r>
          </w:p>
        </w:tc>
      </w:tr>
      <w:tr w:rsidR="005E3A37" w:rsidTr="00E551E1">
        <w:trPr>
          <w:cantSplit/>
          <w:trHeight w:val="1621"/>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8</w:t>
            </w:r>
          </w:p>
        </w:tc>
        <w:tc>
          <w:tcPr>
            <w:tcW w:w="2432"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建设种业公共实验室</w:t>
            </w:r>
          </w:p>
        </w:tc>
        <w:tc>
          <w:tcPr>
            <w:tcW w:w="7834"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充分发挥好中关村现代园艺产业创新中心作用，依托世园公园、国际马铃薯大会、世界葡萄博览园、首农延庆农场等场地资源和基础条件，根据创新主体实际需求，布局建设种质资源鉴定、检测检验、组培脱毒、品种培育等公共实验室，提升种业科技创新公共服务能力</w:t>
            </w:r>
          </w:p>
        </w:tc>
        <w:tc>
          <w:tcPr>
            <w:tcW w:w="2585"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区园林绿化局、区农业农村局、世园公司</w:t>
            </w:r>
          </w:p>
        </w:tc>
      </w:tr>
      <w:tr w:rsidR="005E3A37" w:rsidTr="00E551E1">
        <w:trPr>
          <w:cantSplit/>
          <w:trHeight w:val="2305"/>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lastRenderedPageBreak/>
              <w:t>9</w:t>
            </w:r>
          </w:p>
        </w:tc>
        <w:tc>
          <w:tcPr>
            <w:tcW w:w="2432"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组建种业联合创新中心</w:t>
            </w:r>
          </w:p>
        </w:tc>
        <w:tc>
          <w:tcPr>
            <w:tcW w:w="7834"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支持企业牵头，联合优势科研院校、行业协会、农业合作社等机构，共同组建种业创新联合体或产业技术创新战略联盟，在种业创新和产业发展上形成合力；支持国家花卉产业技术创新战略联盟、百合产业国家创新联盟、北京生物种业创新联合体等联盟在延庆组建创新实验室和产品创新基地；支持北京球根花卉产业技术研究院等新型研发机构建设，聚焦种质资源评价和利用、品种创新、新品种权保护等环节，构建种业联合创新中心</w:t>
            </w:r>
          </w:p>
        </w:tc>
        <w:tc>
          <w:tcPr>
            <w:tcW w:w="2585"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区科委、区园林绿化局、区农业农村局、世园公司等</w:t>
            </w:r>
          </w:p>
        </w:tc>
      </w:tr>
      <w:tr w:rsidR="005E3A37" w:rsidTr="00E551E1">
        <w:trPr>
          <w:cantSplit/>
          <w:trHeight w:val="1808"/>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10</w:t>
            </w:r>
          </w:p>
        </w:tc>
        <w:tc>
          <w:tcPr>
            <w:tcW w:w="2432"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引进建设国家级或部市级科研平台</w:t>
            </w:r>
          </w:p>
        </w:tc>
        <w:tc>
          <w:tcPr>
            <w:tcW w:w="7834"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支持科研院校和企业新建国家级或部市级科研平台（重点实验室、工程技术中心等）落户延庆，支持林木遗传育种国家重点实验室、国家花卉工程技术研究中心等现有国家级或部市级科研平台在延设立分支机构，建设种苗繁殖温室、组培室、育种圃、新品种展示圃等配套设施，开展林果花草蜂药种业科技创新和成果转化</w:t>
            </w:r>
          </w:p>
        </w:tc>
        <w:tc>
          <w:tcPr>
            <w:tcW w:w="2585"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中关村延庆园服务中心、区科委、区园林绿化局、区农业农村局、世园公司等</w:t>
            </w:r>
          </w:p>
        </w:tc>
      </w:tr>
      <w:tr w:rsidR="005E3A37" w:rsidTr="00E551E1">
        <w:trPr>
          <w:cantSplit/>
          <w:trHeight w:val="1227"/>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11</w:t>
            </w:r>
          </w:p>
        </w:tc>
        <w:tc>
          <w:tcPr>
            <w:tcW w:w="2432"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开展林果花草蜂药种业联合攻关</w:t>
            </w:r>
          </w:p>
        </w:tc>
        <w:tc>
          <w:tcPr>
            <w:tcW w:w="7834"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重点依托京内科研单位，深化与延庆种企合作，积极承担国家级和市级科研攻关任务，开展林果花草蜂药品种改良联合攻关</w:t>
            </w:r>
          </w:p>
        </w:tc>
        <w:tc>
          <w:tcPr>
            <w:tcW w:w="2585"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区科委、区园林绿化局、区农业农村局、相关科研院校和企业等</w:t>
            </w:r>
          </w:p>
        </w:tc>
      </w:tr>
      <w:tr w:rsidR="005E3A37" w:rsidTr="00E551E1">
        <w:trPr>
          <w:cantSplit/>
          <w:trHeight w:val="1145"/>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12</w:t>
            </w:r>
          </w:p>
        </w:tc>
        <w:tc>
          <w:tcPr>
            <w:tcW w:w="2432"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建立项目储备库制度</w:t>
            </w:r>
          </w:p>
        </w:tc>
        <w:tc>
          <w:tcPr>
            <w:tcW w:w="7834"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建立项目储备库制度，按照“实施一批、谋划一批、储备一批”的原则，策划组织一批林果花草蜂药种业联合攻关项目，纳入市、区两级“十四五”时期重点项目清单</w:t>
            </w:r>
          </w:p>
        </w:tc>
        <w:tc>
          <w:tcPr>
            <w:tcW w:w="2585"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区科委、中关村延庆园服务中心、区园林绿化局、区农业农村局等</w:t>
            </w:r>
          </w:p>
        </w:tc>
      </w:tr>
      <w:tr w:rsidR="005E3A37" w:rsidTr="00E551E1">
        <w:trPr>
          <w:cantSplit/>
          <w:trHeight w:val="1552"/>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13</w:t>
            </w:r>
          </w:p>
        </w:tc>
        <w:tc>
          <w:tcPr>
            <w:tcW w:w="2432"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发布“揭榜挂帅”种业创新攻关项目</w:t>
            </w:r>
          </w:p>
        </w:tc>
        <w:tc>
          <w:tcPr>
            <w:tcW w:w="7834"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围绕优良新品种选育、种苗规模化高效繁育、知识产权保护等种业创新孵化关键环节，采取企业与政府共同出资形式，联合发布一批“揭榜挂帅”种业创新攻关项目，快速解决种业卡点堵点</w:t>
            </w:r>
          </w:p>
        </w:tc>
        <w:tc>
          <w:tcPr>
            <w:tcW w:w="2585"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区科委、中关村延庆园服务中心、区财政局、区园林绿化局、区农业农村局、相关企业等</w:t>
            </w:r>
          </w:p>
        </w:tc>
      </w:tr>
      <w:tr w:rsidR="005E3A37" w:rsidTr="00E551E1">
        <w:trPr>
          <w:cantSplit/>
          <w:trHeight w:val="1754"/>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lastRenderedPageBreak/>
              <w:t>14</w:t>
            </w:r>
          </w:p>
        </w:tc>
        <w:tc>
          <w:tcPr>
            <w:tcW w:w="2432" w:type="dxa"/>
            <w:vAlign w:val="center"/>
          </w:tcPr>
          <w:p w:rsidR="005E3A37" w:rsidRDefault="005E3A37" w:rsidP="00E551E1">
            <w:pPr>
              <w:adjustRightInd w:val="0"/>
              <w:snapToGrid w:val="0"/>
              <w:rPr>
                <w:rFonts w:ascii="仿宋_GB2312" w:eastAsia="仿宋_GB2312" w:hAnsi="仿宋_GB2312" w:cs="仿宋_GB2312" w:hint="eastAsia"/>
                <w:bCs/>
                <w:sz w:val="24"/>
                <w:szCs w:val="24"/>
              </w:rPr>
            </w:pPr>
            <w:r>
              <w:rPr>
                <w:rFonts w:ascii="仿宋_GB2312" w:eastAsia="仿宋_GB2312" w:hAnsi="仿宋_GB2312" w:cs="仿宋_GB2312" w:hint="eastAsia"/>
                <w:color w:val="000000"/>
                <w:kern w:val="0"/>
                <w:sz w:val="24"/>
                <w:szCs w:val="24"/>
              </w:rPr>
              <w:t>选育林果花草蜂药特色优势新品种</w:t>
            </w:r>
          </w:p>
        </w:tc>
        <w:tc>
          <w:tcPr>
            <w:tcW w:w="7834"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依托种业企业和科研院校等创新主体，根据市场需求导向，充分发挥延庆冷凉气候优势，重点围绕百合、郁金香、牡丹、芍药、菊花等球根花卉、北京市花、传统名花、药食同源植物优势物种，侧重抗寒耐旱、低碳、轻维护等绿色发展选育方向，开展高价值、功能型、有文化内涵等新优品种持续选育</w:t>
            </w:r>
          </w:p>
        </w:tc>
        <w:tc>
          <w:tcPr>
            <w:tcW w:w="2585"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相关科研院校和企业、区园林绿化局、区农业农村局等</w:t>
            </w:r>
          </w:p>
        </w:tc>
      </w:tr>
      <w:tr w:rsidR="005E3A37" w:rsidTr="00E551E1">
        <w:trPr>
          <w:cantSplit/>
          <w:trHeight w:val="1470"/>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15</w:t>
            </w:r>
          </w:p>
        </w:tc>
        <w:tc>
          <w:tcPr>
            <w:tcW w:w="2432"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支持自主品种选育推广和</w:t>
            </w:r>
            <w:r>
              <w:rPr>
                <w:rFonts w:ascii="仿宋_GB2312" w:eastAsia="仿宋_GB2312" w:hAnsi="仿宋_GB2312" w:cs="仿宋_GB2312" w:hint="eastAsia"/>
                <w:sz w:val="24"/>
                <w:szCs w:val="24"/>
              </w:rPr>
              <w:t>国外品种引进利用</w:t>
            </w:r>
          </w:p>
        </w:tc>
        <w:tc>
          <w:tcPr>
            <w:tcW w:w="7834"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对自主品种的选育、审定、繁育和推广给予政策支持，对通过国家或省市级审定的品种以及获得国家植物新品种权的品种给予一次性资金补贴。鼓励引进国外品种开展新品种培育，通过国家或省市级品种审定的或推广产生显著经济效益的，对其引种费用给予补贴</w:t>
            </w:r>
          </w:p>
        </w:tc>
        <w:tc>
          <w:tcPr>
            <w:tcW w:w="2585"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区园林绿化局、区农业农村局等</w:t>
            </w:r>
          </w:p>
        </w:tc>
      </w:tr>
      <w:tr w:rsidR="005E3A37" w:rsidTr="00E551E1">
        <w:trPr>
          <w:cantSplit/>
          <w:trHeight w:val="519"/>
          <w:jc w:val="center"/>
        </w:trPr>
        <w:tc>
          <w:tcPr>
            <w:tcW w:w="13737" w:type="dxa"/>
            <w:gridSpan w:val="4"/>
            <w:noWrap/>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楷体_GB2312" w:eastAsia="楷体_GB2312" w:hAnsi="楷体_GB2312" w:cs="楷体_GB2312" w:hint="eastAsia"/>
                <w:color w:val="000000"/>
                <w:kern w:val="0"/>
                <w:sz w:val="24"/>
                <w:szCs w:val="24"/>
              </w:rPr>
              <w:t>三、种苗繁育基地建设行动</w:t>
            </w:r>
          </w:p>
        </w:tc>
      </w:tr>
      <w:tr w:rsidR="005E3A37" w:rsidTr="00E551E1">
        <w:trPr>
          <w:cantSplit/>
          <w:trHeight w:val="1727"/>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16</w:t>
            </w:r>
          </w:p>
        </w:tc>
        <w:tc>
          <w:tcPr>
            <w:tcW w:w="2432"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建设冷凉植物种球种苗繁育基地</w:t>
            </w:r>
          </w:p>
        </w:tc>
        <w:tc>
          <w:tcPr>
            <w:tcW w:w="7834"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在土地租赁、贷款、基础设施配套等方面提供便利，支持企业联合科研院校，围绕百合、郁金香、牡丹、芍药、菊花等花草主导品种和主推产品，充分利用延庆冷凉气候优势，积极对接市场需求，建设或改扩建球根花卉等冷凉优势植物种球种苗研发快繁基地、优良品种种植储存加工标准化示范基地，提升种球种苗供应能力</w:t>
            </w:r>
          </w:p>
        </w:tc>
        <w:tc>
          <w:tcPr>
            <w:tcW w:w="2585"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区农业农村局、区园林绿化局、世园公司</w:t>
            </w:r>
          </w:p>
        </w:tc>
      </w:tr>
      <w:tr w:rsidR="005E3A37" w:rsidTr="00E551E1">
        <w:trPr>
          <w:cantSplit/>
          <w:trHeight w:val="1443"/>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17</w:t>
            </w:r>
          </w:p>
        </w:tc>
        <w:tc>
          <w:tcPr>
            <w:tcW w:w="2432"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建设特色种苗繁育基地</w:t>
            </w:r>
          </w:p>
        </w:tc>
        <w:tc>
          <w:tcPr>
            <w:tcW w:w="7834"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积极培育特色苗圃产业，重点发展油松、观赏海棠、延庆乡土树种、老北京珍稀树种等苗木，扩大苗木、观赏草等种苗繁育基地。加强黄芩等中药材良种繁育和种植示范基地建设，并注重提升中药材机械化水平。建设蜜蜂养殖基地和蜂产业研发研制基地，开展蜜蜂养殖和特色产品开发</w:t>
            </w:r>
          </w:p>
        </w:tc>
        <w:tc>
          <w:tcPr>
            <w:tcW w:w="2585"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区园林绿化局、区农业农村局等</w:t>
            </w:r>
          </w:p>
        </w:tc>
      </w:tr>
      <w:tr w:rsidR="005E3A37" w:rsidTr="00E551E1">
        <w:trPr>
          <w:cantSplit/>
          <w:trHeight w:val="1172"/>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18</w:t>
            </w:r>
          </w:p>
        </w:tc>
        <w:tc>
          <w:tcPr>
            <w:tcW w:w="2432"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种苗基地智能化改造</w:t>
            </w:r>
          </w:p>
        </w:tc>
        <w:tc>
          <w:tcPr>
            <w:tcW w:w="7834"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以高附加值种球种苗繁育基地为重点应用对象，加大智慧农业技术成果的推广应用，提升农业科技和装备的信息化、数字化、智能化水平，推动智慧农业高质量发展</w:t>
            </w:r>
          </w:p>
        </w:tc>
        <w:tc>
          <w:tcPr>
            <w:tcW w:w="2585"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区农业农村局、区园林绿化局等</w:t>
            </w:r>
          </w:p>
        </w:tc>
      </w:tr>
      <w:tr w:rsidR="005E3A37" w:rsidTr="00E551E1">
        <w:trPr>
          <w:cantSplit/>
          <w:trHeight w:val="1808"/>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lastRenderedPageBreak/>
              <w:t>19</w:t>
            </w:r>
          </w:p>
        </w:tc>
        <w:tc>
          <w:tcPr>
            <w:tcW w:w="2432"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建设育繁推示范区</w:t>
            </w:r>
          </w:p>
        </w:tc>
        <w:tc>
          <w:tcPr>
            <w:tcW w:w="7834"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依托以世园公园为核心的种业创新核心区，整合国际马铃薯大会、世界葡萄博览园、首农食品集团延庆农场及其他优质农业园区等资源，建成一批以林木、果品、花卉等特色鲜明的育繁推示范区，利用京内有限场地和土地资源做好技术创新、品种创制和小范围展示，辐射带动林果花草蜂药种业及相关产业高质量发展</w:t>
            </w:r>
          </w:p>
        </w:tc>
        <w:tc>
          <w:tcPr>
            <w:tcW w:w="2585"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区农业农村局、中关村延庆园服务中心、区园林绿化局、世园公司等</w:t>
            </w:r>
          </w:p>
        </w:tc>
      </w:tr>
      <w:tr w:rsidR="005E3A37" w:rsidTr="00E551E1">
        <w:trPr>
          <w:cantSplit/>
          <w:trHeight w:val="1497"/>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20</w:t>
            </w:r>
          </w:p>
        </w:tc>
        <w:tc>
          <w:tcPr>
            <w:tcW w:w="2432"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支持开拓外埠基地</w:t>
            </w:r>
          </w:p>
        </w:tc>
        <w:tc>
          <w:tcPr>
            <w:tcW w:w="7834"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支持从事种苗繁育的企业通过兼并重组、订单供种等形式，积极开拓</w:t>
            </w:r>
            <w:r>
              <w:rPr>
                <w:rFonts w:ascii="仿宋_GB2312" w:eastAsia="仿宋_GB2312" w:hAnsi="仿宋_GB2312" w:cs="仿宋_GB2312" w:hint="eastAsia"/>
                <w:color w:val="000000"/>
                <w:kern w:val="0"/>
                <w:sz w:val="24"/>
                <w:szCs w:val="24"/>
              </w:rPr>
              <w:t>外埠</w:t>
            </w:r>
            <w:r>
              <w:rPr>
                <w:rFonts w:ascii="仿宋_GB2312" w:eastAsia="仿宋_GB2312" w:hAnsi="仿宋_GB2312" w:cs="仿宋_GB2312" w:hint="eastAsia"/>
                <w:sz w:val="24"/>
                <w:szCs w:val="24"/>
              </w:rPr>
              <w:t>基地，在北方地区和其他适宜相关品种繁育地区开展大规模繁育和生产加工，推动自主品种规模化推广应用，同时积极开拓国际市场，提升自主品种和自主品牌国际知名度</w:t>
            </w:r>
          </w:p>
        </w:tc>
        <w:tc>
          <w:tcPr>
            <w:tcW w:w="2585"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区园林绿化局、区农业农村局、世园公司等</w:t>
            </w:r>
          </w:p>
        </w:tc>
      </w:tr>
      <w:tr w:rsidR="005E3A37" w:rsidTr="00E551E1">
        <w:trPr>
          <w:cantSplit/>
          <w:trHeight w:val="523"/>
          <w:jc w:val="center"/>
        </w:trPr>
        <w:tc>
          <w:tcPr>
            <w:tcW w:w="13737" w:type="dxa"/>
            <w:gridSpan w:val="4"/>
            <w:noWrap/>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楷体_GB2312" w:eastAsia="楷体_GB2312" w:hAnsi="楷体_GB2312" w:cs="楷体_GB2312" w:hint="eastAsia"/>
                <w:color w:val="000000"/>
                <w:kern w:val="0"/>
                <w:sz w:val="24"/>
                <w:szCs w:val="24"/>
              </w:rPr>
              <w:t>四、种业成果展示交易行动</w:t>
            </w:r>
          </w:p>
        </w:tc>
      </w:tr>
      <w:tr w:rsidR="005E3A37" w:rsidTr="00E551E1">
        <w:trPr>
          <w:cantSplit/>
          <w:trHeight w:val="1498"/>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21</w:t>
            </w:r>
          </w:p>
        </w:tc>
        <w:tc>
          <w:tcPr>
            <w:tcW w:w="2432"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建设国际园艺种业文化展示中心</w:t>
            </w:r>
          </w:p>
        </w:tc>
        <w:tc>
          <w:tcPr>
            <w:tcW w:w="7834" w:type="dxa"/>
            <w:vAlign w:val="center"/>
          </w:tcPr>
          <w:p w:rsidR="005E3A37" w:rsidRDefault="005E3A37" w:rsidP="00E551E1">
            <w:pPr>
              <w:adjustRightInd w:val="0"/>
              <w:snapToGrid w:val="0"/>
              <w:outlineLvl w:val="2"/>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充分利用世园公园等场地资源和展会经验，提升种业展示应用空间基础设施，以延庆区特色品种和创新孵化基地相关单位自主品种为重点，利用“线上+线下”相结合，通过各种以种业为主题的文化节、美食节、拍卖会等活动，做好国内外林果花草蜂药优良种质资源和种业文化展示展览</w:t>
            </w:r>
          </w:p>
        </w:tc>
        <w:tc>
          <w:tcPr>
            <w:tcW w:w="2585"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世园公司、区园林绿化局、区农业农村局等</w:t>
            </w:r>
          </w:p>
        </w:tc>
      </w:tr>
      <w:tr w:rsidR="005E3A37" w:rsidTr="00E551E1">
        <w:trPr>
          <w:cantSplit/>
          <w:trHeight w:val="1186"/>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22</w:t>
            </w:r>
          </w:p>
        </w:tc>
        <w:tc>
          <w:tcPr>
            <w:tcW w:w="2432"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建设林果花草蜂药进出口服务平台</w:t>
            </w:r>
          </w:p>
        </w:tc>
        <w:tc>
          <w:tcPr>
            <w:tcW w:w="7834"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建设林果花草蜂药进出口检测检疫平台（北方）和产品进出口交易平台，为种球种苗进出口提供检验检疫公共服务，实现进出口交易便利化和规范化，促进林果花草蜂药种业及相关产品进出口</w:t>
            </w:r>
          </w:p>
        </w:tc>
        <w:tc>
          <w:tcPr>
            <w:tcW w:w="2585"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区园林绿化局、区农业农村局、世园公司等</w:t>
            </w:r>
          </w:p>
        </w:tc>
      </w:tr>
      <w:tr w:rsidR="005E3A37" w:rsidTr="00E551E1">
        <w:trPr>
          <w:cantSplit/>
          <w:trHeight w:val="1227"/>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23</w:t>
            </w:r>
          </w:p>
        </w:tc>
        <w:tc>
          <w:tcPr>
            <w:tcW w:w="2432"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举办中国北京种业大会林果花草蜂药峰会</w:t>
            </w:r>
          </w:p>
        </w:tc>
        <w:tc>
          <w:tcPr>
            <w:tcW w:w="7834"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积极办好中国北京种业大会林果花草蜂药峰会，举办各类以林果花草蜂药种业为主题的国内外高水平展会和论坛，持续提升延庆林果花草蜂药种业影响力</w:t>
            </w:r>
          </w:p>
        </w:tc>
        <w:tc>
          <w:tcPr>
            <w:tcW w:w="2585"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区园林绿化局、区农业农村局、世园公司</w:t>
            </w:r>
          </w:p>
        </w:tc>
      </w:tr>
      <w:tr w:rsidR="005E3A37" w:rsidTr="00E551E1">
        <w:trPr>
          <w:cantSplit/>
          <w:trHeight w:val="1130"/>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lastRenderedPageBreak/>
              <w:t>24</w:t>
            </w:r>
          </w:p>
        </w:tc>
        <w:tc>
          <w:tcPr>
            <w:tcW w:w="2432"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搭建种业成果转移转化交易平台</w:t>
            </w:r>
          </w:p>
        </w:tc>
        <w:tc>
          <w:tcPr>
            <w:tcW w:w="7834"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搭建林果花草蜂药种业成果转移转化交易平台，建立科技成果统一登记、第三方评价和定期发布机制，结合线下展会、论坛等交流活动，服务北京及全国林果花草蜂药种业科研院校和企业，加快种业科技成果转化</w:t>
            </w:r>
          </w:p>
        </w:tc>
        <w:tc>
          <w:tcPr>
            <w:tcW w:w="2585"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pacing w:val="-6"/>
                <w:sz w:val="24"/>
                <w:szCs w:val="24"/>
              </w:rPr>
              <w:t>区科委、区园林绿化局、区农业农村局、中关村延庆园服务中心等</w:t>
            </w:r>
          </w:p>
        </w:tc>
      </w:tr>
      <w:tr w:rsidR="005E3A37" w:rsidTr="00E551E1">
        <w:trPr>
          <w:cantSplit/>
          <w:trHeight w:val="1419"/>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25</w:t>
            </w:r>
          </w:p>
        </w:tc>
        <w:tc>
          <w:tcPr>
            <w:tcW w:w="2432"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实施自主品种推广后补贴政策</w:t>
            </w:r>
          </w:p>
        </w:tc>
        <w:tc>
          <w:tcPr>
            <w:tcW w:w="7834"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实施自主品种后补贴政策，鼓励区内企业积极对接科研院校，开展林果花草蜂药种业科技成果转移转化，对创新性强、市场接受度高、农民增收贡献大的自主品种和技术推广应用产生显著效益的，按照推广成本给予一定比例补贴，促进自主品种推广应用</w:t>
            </w:r>
          </w:p>
        </w:tc>
        <w:tc>
          <w:tcPr>
            <w:tcW w:w="2585"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区科委、区农业农村局、区园林绿化局、区财政局等</w:t>
            </w:r>
          </w:p>
        </w:tc>
      </w:tr>
      <w:tr w:rsidR="005E3A37" w:rsidTr="00E551E1">
        <w:trPr>
          <w:cantSplit/>
          <w:trHeight w:val="1834"/>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26</w:t>
            </w:r>
          </w:p>
        </w:tc>
        <w:tc>
          <w:tcPr>
            <w:tcW w:w="2432"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实施延庆种业品牌提升计划</w:t>
            </w:r>
          </w:p>
        </w:tc>
        <w:tc>
          <w:tcPr>
            <w:tcW w:w="7834"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pacing w:val="-6"/>
                <w:sz w:val="24"/>
                <w:szCs w:val="24"/>
              </w:rPr>
              <w:t>依托“妫水农耕”品牌建设，实施延庆种业品牌提升计划，加大品牌宣传力度，提升延庆国光苹果、延怀河谷葡萄、延庆香白杏、燕山板栗等国家地理标志认证品牌知名度。支持延庆种业品牌提档升级，将延庆种业品牌打造成为“京花、京果、京苗”品牌。以北京道地药材和药食同源类中药材为主开发一系列具有北京特色的地理标志产品，提升延庆中药材品牌知名度</w:t>
            </w:r>
          </w:p>
        </w:tc>
        <w:tc>
          <w:tcPr>
            <w:tcW w:w="2585"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区园林绿化局、区农业农村局、区市场监管局等</w:t>
            </w:r>
          </w:p>
        </w:tc>
      </w:tr>
      <w:tr w:rsidR="005E3A37" w:rsidTr="00E551E1">
        <w:trPr>
          <w:cantSplit/>
          <w:trHeight w:val="793"/>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27</w:t>
            </w:r>
          </w:p>
        </w:tc>
        <w:tc>
          <w:tcPr>
            <w:tcW w:w="2432"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实施特色品种“分子身份证”计划</w:t>
            </w:r>
          </w:p>
        </w:tc>
        <w:tc>
          <w:tcPr>
            <w:tcW w:w="7834"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对审定的林果花草蜂药特色品种实施“分子身份证”计划，构建和推广“分子身份证”技术体系，提升特色品种辨识度和知识产权保护能力</w:t>
            </w:r>
          </w:p>
        </w:tc>
        <w:tc>
          <w:tcPr>
            <w:tcW w:w="2585"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区园林绿化局、区农业农村局等</w:t>
            </w:r>
          </w:p>
        </w:tc>
      </w:tr>
      <w:tr w:rsidR="005E3A37" w:rsidTr="00E551E1">
        <w:trPr>
          <w:cantSplit/>
          <w:trHeight w:val="496"/>
          <w:jc w:val="center"/>
        </w:trPr>
        <w:tc>
          <w:tcPr>
            <w:tcW w:w="13737" w:type="dxa"/>
            <w:gridSpan w:val="4"/>
            <w:noWrap/>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楷体_GB2312" w:eastAsia="楷体_GB2312" w:hAnsi="楷体_GB2312" w:cs="楷体_GB2312" w:hint="eastAsia"/>
                <w:color w:val="000000"/>
                <w:kern w:val="0"/>
                <w:sz w:val="24"/>
                <w:szCs w:val="24"/>
              </w:rPr>
              <w:t>五、种业产业聚集孵化行动</w:t>
            </w:r>
          </w:p>
        </w:tc>
      </w:tr>
      <w:tr w:rsidR="005E3A37" w:rsidTr="00E551E1">
        <w:trPr>
          <w:cantSplit/>
          <w:trHeight w:val="2435"/>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b/>
                <w:bCs/>
                <w:color w:val="000000"/>
                <w:kern w:val="0"/>
                <w:sz w:val="24"/>
                <w:szCs w:val="24"/>
              </w:rPr>
            </w:pPr>
            <w:r>
              <w:rPr>
                <w:rFonts w:ascii="仿宋_GB2312" w:eastAsia="仿宋_GB2312" w:hAnsi="仿宋_GB2312" w:cs="仿宋_GB2312" w:hint="eastAsia"/>
                <w:color w:val="000000"/>
                <w:kern w:val="0"/>
                <w:sz w:val="24"/>
                <w:szCs w:val="24"/>
              </w:rPr>
              <w:t>28</w:t>
            </w:r>
          </w:p>
        </w:tc>
        <w:tc>
          <w:tcPr>
            <w:tcW w:w="2432"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完善种业产业公共基础设施</w:t>
            </w:r>
          </w:p>
        </w:tc>
        <w:tc>
          <w:tcPr>
            <w:tcW w:w="7834" w:type="dxa"/>
            <w:vAlign w:val="center"/>
          </w:tcPr>
          <w:p w:rsidR="005E3A37" w:rsidRDefault="005E3A37" w:rsidP="00E551E1">
            <w:pPr>
              <w:adjustRightInd w:val="0"/>
              <w:snapToGrid w:val="0"/>
              <w:rPr>
                <w:rFonts w:ascii="仿宋_GB2312" w:eastAsia="仿宋_GB2312" w:hAnsi="仿宋_GB2312" w:cs="仿宋_GB2312" w:hint="eastAsia"/>
                <w:b/>
                <w:bCs/>
                <w:color w:val="000000"/>
                <w:kern w:val="0"/>
                <w:sz w:val="24"/>
                <w:szCs w:val="24"/>
              </w:rPr>
            </w:pPr>
            <w:r>
              <w:rPr>
                <w:rFonts w:ascii="仿宋_GB2312" w:eastAsia="仿宋_GB2312" w:hAnsi="仿宋_GB2312" w:cs="仿宋_GB2312" w:hint="eastAsia"/>
                <w:sz w:val="24"/>
                <w:szCs w:val="24"/>
              </w:rPr>
              <w:t>支持科研院校和企业改造提升检测实验室、智能温室、冷库等种业基础设施。充分盘活全区现有场地资源和基础设施，重点统筹世园公园、国际马铃薯大会、世界葡萄博览园现有可利用场地、基础设施，创建基础设施共享模式，合理配置种业产业相关功能，提高硬件资源利用效果，扩建具有预冷功能等功能完善的种苗、种球存储冷库，建立冷链仓储共享机制。积极协调各相关物流配送企业，联合种苗、种球冷链需求种业企业，构建种苗种球及相关终端产品冷链物流网络，加快种业产业发展</w:t>
            </w:r>
          </w:p>
        </w:tc>
        <w:tc>
          <w:tcPr>
            <w:tcW w:w="2585" w:type="dxa"/>
            <w:vAlign w:val="center"/>
          </w:tcPr>
          <w:p w:rsidR="005E3A37" w:rsidRDefault="005E3A37" w:rsidP="00E551E1">
            <w:pPr>
              <w:adjustRightInd w:val="0"/>
              <w:snapToGrid w:val="0"/>
              <w:rPr>
                <w:rFonts w:ascii="仿宋_GB2312" w:eastAsia="仿宋_GB2312" w:hAnsi="仿宋_GB2312" w:cs="仿宋_GB2312" w:hint="eastAsia"/>
                <w:b/>
                <w:bCs/>
                <w:color w:val="000000"/>
                <w:kern w:val="0"/>
                <w:sz w:val="24"/>
                <w:szCs w:val="24"/>
              </w:rPr>
            </w:pPr>
            <w:r>
              <w:rPr>
                <w:rFonts w:ascii="仿宋_GB2312" w:eastAsia="仿宋_GB2312" w:hAnsi="仿宋_GB2312" w:cs="仿宋_GB2312" w:hint="eastAsia"/>
                <w:sz w:val="24"/>
                <w:szCs w:val="24"/>
              </w:rPr>
              <w:t>区农业农村局、区园林绿化局、世园公司、中国邮政集团有限公司北京市延庆区分公司等</w:t>
            </w:r>
          </w:p>
        </w:tc>
      </w:tr>
      <w:tr w:rsidR="005E3A37" w:rsidTr="00E551E1">
        <w:trPr>
          <w:cantSplit/>
          <w:trHeight w:val="1714"/>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lastRenderedPageBreak/>
              <w:t>29</w:t>
            </w:r>
          </w:p>
        </w:tc>
        <w:tc>
          <w:tcPr>
            <w:tcW w:w="2432"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制定种业创新孵化促进政策</w:t>
            </w:r>
          </w:p>
        </w:tc>
        <w:tc>
          <w:tcPr>
            <w:tcW w:w="7834"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根据种业企业和产业链相关企业实际需求，发挥中关村政策优势，在用地指标、基础设施配套、上市融资、创新创业奖励等方面，制定促进种业创新要素和优势资源集聚的种业孵化政策，吸引国内外林果花草蜂药种业领军企业和产业链上下游龙头企业在延庆设立总部、创新中心或繁育基地，持续开展种业创新创业和成果转化</w:t>
            </w:r>
          </w:p>
        </w:tc>
        <w:tc>
          <w:tcPr>
            <w:tcW w:w="2585"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区园林绿化局、区农业农村局、市规划自然资源委延庆分局、中关村延庆园服务中心、相关企业等</w:t>
            </w:r>
          </w:p>
        </w:tc>
      </w:tr>
      <w:tr w:rsidR="005E3A37" w:rsidTr="00E551E1">
        <w:trPr>
          <w:cantSplit/>
          <w:trHeight w:val="1145"/>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30</w:t>
            </w:r>
          </w:p>
        </w:tc>
        <w:tc>
          <w:tcPr>
            <w:tcW w:w="2432" w:type="dxa"/>
            <w:vAlign w:val="center"/>
          </w:tcPr>
          <w:p w:rsidR="005E3A37" w:rsidRDefault="005E3A37" w:rsidP="00E551E1">
            <w:pPr>
              <w:adjustRightInd w:val="0"/>
              <w:snapToGrid w:val="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支持种业领军企业发展壮大</w:t>
            </w:r>
          </w:p>
        </w:tc>
        <w:tc>
          <w:tcPr>
            <w:tcW w:w="7834"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sz w:val="24"/>
                <w:szCs w:val="24"/>
              </w:rPr>
              <w:t>支持种业领军企业兼并重组，整合国内外优质种业资源和创新要素，积极拓展进出口贸易，持续提升种业创新能力和市场竞争力；鼓励种业企业挂牌上市，对上市成功的种业企业给予奖励</w:t>
            </w:r>
          </w:p>
        </w:tc>
        <w:tc>
          <w:tcPr>
            <w:tcW w:w="2585"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b/>
                <w:bCs/>
                <w:color w:val="000000"/>
                <w:kern w:val="0"/>
                <w:sz w:val="24"/>
                <w:szCs w:val="24"/>
              </w:rPr>
            </w:pPr>
            <w:r>
              <w:rPr>
                <w:rFonts w:ascii="仿宋_GB2312" w:eastAsia="仿宋_GB2312" w:hAnsi="仿宋_GB2312" w:cs="仿宋_GB2312" w:hint="eastAsia"/>
                <w:sz w:val="24"/>
                <w:szCs w:val="24"/>
              </w:rPr>
              <w:t>区商务局、区科委、区园林绿化局、区农业农村局、相关企业等</w:t>
            </w:r>
          </w:p>
        </w:tc>
      </w:tr>
      <w:tr w:rsidR="005E3A37" w:rsidTr="00E551E1">
        <w:trPr>
          <w:cantSplit/>
          <w:trHeight w:val="1076"/>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31</w:t>
            </w:r>
          </w:p>
        </w:tc>
        <w:tc>
          <w:tcPr>
            <w:tcW w:w="2432"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孵化中小种业企业</w:t>
            </w:r>
          </w:p>
        </w:tc>
        <w:tc>
          <w:tcPr>
            <w:tcW w:w="7834"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探索设立创新创业场地租金补贴、贷款贴息等优惠政策，提供公司注册、知识产权申请和评估、公共科研试验、成果转化交易等保姆式服务，加速创新型中小种业企业孵化</w:t>
            </w:r>
          </w:p>
        </w:tc>
        <w:tc>
          <w:tcPr>
            <w:tcW w:w="2585"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中关村延庆园服务中心、区园林绿化局、区农业农村局等</w:t>
            </w:r>
          </w:p>
        </w:tc>
      </w:tr>
      <w:tr w:rsidR="005E3A37" w:rsidTr="00E551E1">
        <w:trPr>
          <w:cantSplit/>
          <w:trHeight w:val="1344"/>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32</w:t>
            </w:r>
          </w:p>
        </w:tc>
        <w:tc>
          <w:tcPr>
            <w:tcW w:w="2432"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搭建种业专家智库咨询服务平台</w:t>
            </w:r>
          </w:p>
        </w:tc>
        <w:tc>
          <w:tcPr>
            <w:tcW w:w="7834"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充分发挥科研院校、创新联盟、种业智库和行业协会等机构专家力量，搭建林果花草蜂药种业专家智库咨询服务平台，加强种业体制机制创新研究，为企业提供种业咨询服务</w:t>
            </w:r>
          </w:p>
        </w:tc>
        <w:tc>
          <w:tcPr>
            <w:tcW w:w="2585"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中关村延庆园服务中心、区园林绿化局、区农业农村局、相关科研院校和企业等</w:t>
            </w:r>
          </w:p>
        </w:tc>
      </w:tr>
      <w:tr w:rsidR="005E3A37" w:rsidTr="00E551E1">
        <w:trPr>
          <w:cantSplit/>
          <w:trHeight w:val="1732"/>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33</w:t>
            </w:r>
          </w:p>
        </w:tc>
        <w:tc>
          <w:tcPr>
            <w:tcW w:w="2432"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打造“种业+”产业集群</w:t>
            </w:r>
          </w:p>
        </w:tc>
        <w:tc>
          <w:tcPr>
            <w:tcW w:w="7834"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支持林果花草蜂药企业以种业为引领，加强自主品种培育和示范推广，扩大种苗种球繁育规模，积极开拓国内外市场，做大做强林果花草蜂药种业。以自主品种推广展示为重点，发展“种业+园艺”“种业+林下经济”“种业+蜂”等产业新模式。突出种业特色，促进种业与科普研学、休闲旅游等相关产业深度融合，发展“种业+科普研学”“种业+休闲旅游”等产业</w:t>
            </w:r>
          </w:p>
        </w:tc>
        <w:tc>
          <w:tcPr>
            <w:tcW w:w="2585"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区园林绿化局、区农业农村局、区教委、区文化和旅游局、相关企业等</w:t>
            </w:r>
          </w:p>
        </w:tc>
      </w:tr>
      <w:tr w:rsidR="005E3A37" w:rsidTr="00E551E1">
        <w:trPr>
          <w:cantSplit/>
          <w:trHeight w:val="1110"/>
          <w:jc w:val="center"/>
        </w:trPr>
        <w:tc>
          <w:tcPr>
            <w:tcW w:w="886" w:type="dxa"/>
            <w:noWrap/>
            <w:vAlign w:val="center"/>
          </w:tcPr>
          <w:p w:rsidR="005E3A37" w:rsidRDefault="005E3A37" w:rsidP="00E551E1">
            <w:pPr>
              <w:adjustRightInd w:val="0"/>
              <w:snapToGrid w:val="0"/>
              <w:jc w:val="center"/>
              <w:rPr>
                <w:rFonts w:ascii="仿宋_GB2312" w:eastAsia="仿宋_GB2312" w:hAnsi="仿宋_GB2312" w:cs="仿宋_GB2312" w:hint="eastAsia"/>
                <w:color w:val="000000"/>
                <w:kern w:val="0"/>
                <w:sz w:val="24"/>
                <w:szCs w:val="24"/>
              </w:rPr>
            </w:pPr>
            <w:r>
              <w:rPr>
                <w:rFonts w:ascii="仿宋_GB2312" w:eastAsia="仿宋_GB2312" w:hAnsi="仿宋_GB2312" w:cs="仿宋_GB2312" w:hint="eastAsia"/>
                <w:color w:val="000000"/>
                <w:kern w:val="0"/>
                <w:sz w:val="24"/>
                <w:szCs w:val="24"/>
              </w:rPr>
              <w:t>34</w:t>
            </w:r>
          </w:p>
        </w:tc>
        <w:tc>
          <w:tcPr>
            <w:tcW w:w="2432" w:type="dxa"/>
            <w:vAlign w:val="center"/>
          </w:tcPr>
          <w:p w:rsidR="005E3A37" w:rsidRDefault="005E3A37" w:rsidP="00E551E1">
            <w:pPr>
              <w:adjustRightInd w:val="0"/>
              <w:snapToGrid w:val="0"/>
              <w:rPr>
                <w:rFonts w:ascii="仿宋_GB2312" w:eastAsia="仿宋_GB2312" w:hAnsi="仿宋_GB2312" w:cs="仿宋_GB2312" w:hint="eastAsia"/>
                <w:b/>
                <w:bCs/>
                <w:sz w:val="24"/>
                <w:szCs w:val="24"/>
              </w:rPr>
            </w:pPr>
            <w:r>
              <w:rPr>
                <w:rFonts w:ascii="仿宋_GB2312" w:eastAsia="仿宋_GB2312" w:hAnsi="仿宋_GB2312" w:cs="仿宋_GB2312" w:hint="eastAsia"/>
                <w:sz w:val="24"/>
                <w:szCs w:val="24"/>
              </w:rPr>
              <w:t>申报国家现代农业产业园</w:t>
            </w:r>
          </w:p>
        </w:tc>
        <w:tc>
          <w:tcPr>
            <w:tcW w:w="7834" w:type="dxa"/>
            <w:vAlign w:val="center"/>
          </w:tcPr>
          <w:p w:rsidR="005E3A37" w:rsidRDefault="005E3A37" w:rsidP="00E551E1">
            <w:pPr>
              <w:pStyle w:val="3"/>
              <w:adjustRightInd w:val="0"/>
              <w:snapToGrid w:val="0"/>
              <w:ind w:leftChars="0" w:left="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在改造提升延庆国家农业科技园区的基础上，积极申报和创建以林果花草种业为特色的国家现代农业产业园，为打造北京林果花草蜂药种业创新高地提供强有力支撑</w:t>
            </w:r>
          </w:p>
        </w:tc>
        <w:tc>
          <w:tcPr>
            <w:tcW w:w="2585" w:type="dxa"/>
            <w:vAlign w:val="center"/>
          </w:tcPr>
          <w:p w:rsidR="005E3A37" w:rsidRDefault="005E3A37" w:rsidP="00E551E1">
            <w:pPr>
              <w:adjustRightInd w:val="0"/>
              <w:snapToGrid w:val="0"/>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区农业农村局、区园林绿化局、区科委、中关村延庆园服务中心等</w:t>
            </w:r>
          </w:p>
        </w:tc>
      </w:tr>
    </w:tbl>
    <w:p w:rsidR="005E3A37" w:rsidRDefault="005E3A37" w:rsidP="005E3A37">
      <w:pPr>
        <w:pStyle w:val="3"/>
        <w:rPr>
          <w:rFonts w:hint="eastAsia"/>
        </w:rPr>
      </w:pPr>
    </w:p>
    <w:p w:rsidR="00012FD9" w:rsidRDefault="00890135" w:rsidP="000D5A1C">
      <w:pPr>
        <w:ind w:firstLine="640"/>
      </w:pPr>
    </w:p>
    <w:sectPr w:rsidR="00012FD9" w:rsidSect="005E3A37">
      <w:footerReference w:type="even" r:id="rId8"/>
      <w:footerReference w:type="default" r:id="rId9"/>
      <w:pgSz w:w="16838" w:h="11906" w:orient="landscape"/>
      <w:pgMar w:top="993" w:right="1440" w:bottom="1418"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0135" w:rsidRDefault="00890135" w:rsidP="005E3A37">
      <w:r>
        <w:separator/>
      </w:r>
    </w:p>
  </w:endnote>
  <w:endnote w:type="continuationSeparator" w:id="1">
    <w:p w:rsidR="00890135" w:rsidRDefault="00890135" w:rsidP="005E3A3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方正仿宋_GB2312">
    <w:altName w:val="仿宋"/>
    <w:charset w:val="86"/>
    <w:family w:val="auto"/>
    <w:pitch w:val="default"/>
    <w:sig w:usb0="A00002BF" w:usb1="184F6CFA" w:usb2="00000012"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890135">
    <w:pPr>
      <w:pStyle w:val="a3"/>
      <w:ind w:right="360"/>
    </w:pPr>
    <w:r>
      <w:pict>
        <v:shapetype id="_x0000_t202" coordsize="21600,21600" o:spt="202" path="m,l,21600r21600,l21600,xe">
          <v:stroke joinstyle="miter"/>
          <v:path gradientshapeok="t" o:connecttype="rect"/>
        </v:shapetype>
        <v:shape id="文本框 1040" o:spid="_x0000_s1026" type="#_x0000_t202" style="position:absolute;margin-left:16.2pt;margin-top:-25pt;width:2in;height:2in;z-index:251661312;mso-wrap-style:none;mso-position-horizontal-relative:margin" filled="f" stroked="f">
          <v:fill o:detectmouseclick="t"/>
          <v:textbox style="mso-next-textbox:#文本框 1040;mso-fit-shape-to-text:t" inset="0,0,0,0">
            <w:txbxContent>
              <w:p w:rsidR="00000000" w:rsidRDefault="00890135">
                <w:pPr>
                  <w:pStyle w:val="a3"/>
                </w:pPr>
                <w:r>
                  <w:rPr>
                    <w:rFonts w:ascii="宋体" w:hAnsi="宋体" w:cs="宋体" w:hint="eastAsia"/>
                    <w:sz w:val="28"/>
                    <w:szCs w:val="28"/>
                  </w:rPr>
                  <w:t>—</w:t>
                </w:r>
                <w:r>
                  <w:rPr>
                    <w:rFonts w:ascii="宋体" w:hAnsi="宋体" w:cs="宋体" w:hint="eastAsia"/>
                    <w:sz w:val="28"/>
                    <w:szCs w:val="28"/>
                  </w:rPr>
                  <w:t xml:space="preserve"> </w:t>
                </w: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Pr>
                    <w:rFonts w:ascii="宋体" w:hAnsi="宋体" w:cs="宋体"/>
                    <w:noProof/>
                    <w:sz w:val="28"/>
                    <w:szCs w:val="28"/>
                  </w:rPr>
                  <w:t>2</w:t>
                </w:r>
                <w:r>
                  <w:rPr>
                    <w:rFonts w:ascii="宋体" w:hAnsi="宋体" w:cs="宋体" w:hint="eastAsia"/>
                    <w:sz w:val="28"/>
                    <w:szCs w:val="28"/>
                  </w:rPr>
                  <w:fldChar w:fldCharType="end"/>
                </w:r>
                <w:r>
                  <w:rPr>
                    <w:rFonts w:ascii="宋体" w:hAnsi="宋体" w:cs="宋体" w:hint="eastAsia"/>
                    <w:sz w:val="28"/>
                    <w:szCs w:val="28"/>
                  </w:rPr>
                  <w:t xml:space="preserve"> </w:t>
                </w:r>
                <w:r>
                  <w:rPr>
                    <w:rFonts w:ascii="宋体" w:hAnsi="宋体" w:cs="宋体" w:hint="eastAsia"/>
                    <w:sz w:val="28"/>
                    <w:szCs w:val="28"/>
                  </w:rPr>
                  <w:t>—</w:t>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890135">
    <w:pPr>
      <w:pStyle w:val="a3"/>
      <w:ind w:right="360"/>
    </w:pPr>
    <w:r>
      <w:pict>
        <v:shapetype id="_x0000_t202" coordsize="21600,21600" o:spt="202" path="m,l,21600r21600,l21600,xe">
          <v:stroke joinstyle="miter"/>
          <v:path gradientshapeok="t" o:connecttype="rect"/>
        </v:shapetype>
        <v:shape id="文本框 1039" o:spid="_x0000_s1025" type="#_x0000_t202" style="position:absolute;margin-left:377pt;margin-top:-25.65pt;width:2in;height:2in;z-index:251660288;mso-wrap-style:none;mso-position-horizontal-relative:margin" filled="f" stroked="f">
          <v:fill o:detectmouseclick="t"/>
          <v:textbox style="mso-next-textbox:#文本框 1039;mso-fit-shape-to-text:t" inset="0,0,0,0">
            <w:txbxContent>
              <w:p w:rsidR="00000000" w:rsidRDefault="00890135">
                <w:pPr>
                  <w:pStyle w:val="a3"/>
                  <w:rPr>
                    <w:rFonts w:ascii="宋体" w:hAnsi="宋体" w:cs="宋体" w:hint="eastAsia"/>
                    <w:sz w:val="28"/>
                    <w:szCs w:val="28"/>
                  </w:rPr>
                </w:pPr>
                <w:r>
                  <w:rPr>
                    <w:rFonts w:ascii="宋体" w:hAnsi="宋体" w:cs="宋体" w:hint="eastAsia"/>
                    <w:sz w:val="28"/>
                    <w:szCs w:val="28"/>
                  </w:rPr>
                  <w:t>—</w:t>
                </w:r>
                <w:r>
                  <w:rPr>
                    <w:rFonts w:ascii="宋体" w:hAnsi="宋体" w:cs="宋体" w:hint="eastAsia"/>
                    <w:sz w:val="28"/>
                    <w:szCs w:val="28"/>
                  </w:rPr>
                  <w:t xml:space="preserve"> </w:t>
                </w: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5E3A37">
                  <w:rPr>
                    <w:rFonts w:ascii="宋体" w:hAnsi="宋体" w:cs="宋体"/>
                    <w:noProof/>
                    <w:sz w:val="28"/>
                    <w:szCs w:val="28"/>
                  </w:rPr>
                  <w:t>1</w:t>
                </w:r>
                <w:r>
                  <w:rPr>
                    <w:rFonts w:ascii="宋体" w:hAnsi="宋体" w:cs="宋体" w:hint="eastAsia"/>
                    <w:sz w:val="28"/>
                    <w:szCs w:val="28"/>
                  </w:rPr>
                  <w:fldChar w:fldCharType="end"/>
                </w:r>
                <w:r>
                  <w:rPr>
                    <w:rFonts w:ascii="宋体" w:hAnsi="宋体" w:cs="宋体" w:hint="eastAsia"/>
                    <w:sz w:val="28"/>
                    <w:szCs w:val="28"/>
                  </w:rPr>
                  <w:t xml:space="preserve"> </w:t>
                </w:r>
                <w:r>
                  <w:rPr>
                    <w:rFonts w:ascii="宋体" w:hAnsi="宋体" w:cs="宋体" w:hint="eastAsia"/>
                    <w:sz w:val="28"/>
                    <w:szCs w:val="28"/>
                  </w:rPr>
                  <w:t>—</w:t>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890135">
    <w:pPr>
      <w:pStyle w:val="a3"/>
      <w:ind w:right="360"/>
    </w:pPr>
    <w:r>
      <w:pict>
        <v:shapetype id="_x0000_t202" coordsize="21600,21600" o:spt="202" path="m,l,21600r21600,l21600,xe">
          <v:stroke joinstyle="miter"/>
          <v:path gradientshapeok="t" o:connecttype="rect"/>
        </v:shapetype>
        <v:shape id="文本框 1044" o:spid="_x0000_s1028" type="#_x0000_t202" style="position:absolute;margin-left:290.15pt;margin-top:-4.55pt;width:2in;height:2in;z-index:251663360;mso-wrap-style:none;mso-position-horizontal-relative:margin" filled="f" stroked="f">
          <v:fill o:detectmouseclick="t"/>
          <v:textbox style="mso-next-textbox:#文本框 1044;mso-fit-shape-to-text:t" inset="0,0,0,0">
            <w:txbxContent>
              <w:p w:rsidR="00000000" w:rsidRDefault="00890135">
                <w:pPr>
                  <w:pStyle w:val="a3"/>
                </w:pPr>
                <w:r>
                  <w:rPr>
                    <w:rFonts w:ascii="宋体" w:hAnsi="宋体" w:cs="宋体" w:hint="eastAsia"/>
                    <w:sz w:val="28"/>
                    <w:szCs w:val="28"/>
                  </w:rPr>
                  <w:t>—</w:t>
                </w:r>
                <w:r>
                  <w:rPr>
                    <w:rFonts w:ascii="宋体" w:hAnsi="宋体" w:cs="宋体" w:hint="eastAsia"/>
                    <w:sz w:val="28"/>
                    <w:szCs w:val="28"/>
                  </w:rPr>
                  <w:t xml:space="preserve"> </w:t>
                </w: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Pr>
                    <w:rFonts w:ascii="宋体" w:hAnsi="宋体" w:cs="宋体"/>
                    <w:noProof/>
                    <w:sz w:val="28"/>
                    <w:szCs w:val="28"/>
                  </w:rPr>
                  <w:t>26</w:t>
                </w:r>
                <w:r>
                  <w:rPr>
                    <w:rFonts w:ascii="宋体" w:hAnsi="宋体" w:cs="宋体" w:hint="eastAsia"/>
                    <w:sz w:val="28"/>
                    <w:szCs w:val="28"/>
                  </w:rPr>
                  <w:fldChar w:fldCharType="end"/>
                </w:r>
                <w:r>
                  <w:rPr>
                    <w:rFonts w:ascii="宋体" w:hAnsi="宋体" w:cs="宋体" w:hint="eastAsia"/>
                    <w:sz w:val="28"/>
                    <w:szCs w:val="28"/>
                  </w:rPr>
                  <w:t xml:space="preserve"> </w:t>
                </w:r>
                <w:r>
                  <w:rPr>
                    <w:rFonts w:ascii="宋体" w:hAnsi="宋体" w:cs="宋体" w:hint="eastAsia"/>
                    <w:sz w:val="28"/>
                    <w:szCs w:val="28"/>
                  </w:rPr>
                  <w:t>—</w:t>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890135">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0135" w:rsidRDefault="00890135" w:rsidP="005E3A37">
      <w:r>
        <w:separator/>
      </w:r>
    </w:p>
  </w:footnote>
  <w:footnote w:type="continuationSeparator" w:id="1">
    <w:p w:rsidR="00890135" w:rsidRDefault="00890135" w:rsidP="005E3A3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doNotExpandShiftReturn/>
    <w:adjustLineHeightInTable/>
    <w:useFELayout/>
  </w:compat>
  <w:rsids>
    <w:rsidRoot w:val="005E3A37"/>
    <w:rsid w:val="000D5A1C"/>
    <w:rsid w:val="00171B9B"/>
    <w:rsid w:val="001C7DFA"/>
    <w:rsid w:val="00322037"/>
    <w:rsid w:val="00352D54"/>
    <w:rsid w:val="003D15C2"/>
    <w:rsid w:val="00470C08"/>
    <w:rsid w:val="005E3A37"/>
    <w:rsid w:val="00722448"/>
    <w:rsid w:val="00890135"/>
    <w:rsid w:val="0094078B"/>
    <w:rsid w:val="00BD6FEC"/>
    <w:rsid w:val="00C210BE"/>
    <w:rsid w:val="00F60D9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3"/>
    <w:qFormat/>
    <w:rsid w:val="005E3A37"/>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toc 3"/>
    <w:basedOn w:val="a"/>
    <w:next w:val="a"/>
    <w:qFormat/>
    <w:rsid w:val="005E3A37"/>
    <w:pPr>
      <w:ind w:leftChars="400" w:left="840"/>
    </w:pPr>
  </w:style>
  <w:style w:type="paragraph" w:styleId="a3">
    <w:name w:val="footer"/>
    <w:basedOn w:val="a"/>
    <w:next w:val="a"/>
    <w:link w:val="Char"/>
    <w:rsid w:val="005E3A37"/>
    <w:pPr>
      <w:tabs>
        <w:tab w:val="center" w:pos="4153"/>
        <w:tab w:val="right" w:pos="8306"/>
      </w:tabs>
      <w:snapToGrid w:val="0"/>
      <w:jc w:val="left"/>
    </w:pPr>
    <w:rPr>
      <w:sz w:val="18"/>
    </w:rPr>
  </w:style>
  <w:style w:type="character" w:customStyle="1" w:styleId="Char">
    <w:name w:val="页脚 Char"/>
    <w:basedOn w:val="a0"/>
    <w:link w:val="a3"/>
    <w:rsid w:val="005E3A37"/>
    <w:rPr>
      <w:rFonts w:ascii="Times New Roman" w:eastAsia="宋体" w:hAnsi="Times New Roman" w:cs="Times New Roman"/>
      <w:sz w:val="18"/>
      <w:szCs w:val="20"/>
    </w:rPr>
  </w:style>
  <w:style w:type="paragraph" w:styleId="a4">
    <w:name w:val="header"/>
    <w:basedOn w:val="a"/>
    <w:link w:val="Char0"/>
    <w:uiPriority w:val="99"/>
    <w:semiHidden/>
    <w:unhideWhenUsed/>
    <w:rsid w:val="005E3A37"/>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rsid w:val="005E3A37"/>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26</Pages>
  <Words>2289</Words>
  <Characters>13049</Characters>
  <Application>Microsoft Office Word</Application>
  <DocSecurity>0</DocSecurity>
  <Lines>108</Lines>
  <Paragraphs>30</Paragraphs>
  <ScaleCrop>false</ScaleCrop>
  <Company/>
  <LinksUpToDate>false</LinksUpToDate>
  <CharactersWithSpaces>15308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2022-12-07T00:49:00Z</dcterms:created>
  <dcterms:modified xsi:type="dcterms:W3CDTF">2022-12-07T01:04:00Z</dcterms:modified>
</cp:coreProperties>
</file>